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C1" w:rsidRPr="001103C2" w:rsidRDefault="001837C1" w:rsidP="001837C1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103C2">
        <w:rPr>
          <w:rFonts w:ascii="Times New Roman" w:eastAsia="Calibri" w:hAnsi="Times New Roman" w:cs="Times New Roman"/>
          <w:b/>
          <w:bCs/>
          <w:sz w:val="27"/>
          <w:szCs w:val="27"/>
        </w:rPr>
        <w:t>Аналитическая записка</w:t>
      </w:r>
    </w:p>
    <w:p w:rsidR="001837C1" w:rsidRPr="001103C2" w:rsidRDefault="001837C1" w:rsidP="001837C1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103C2">
        <w:rPr>
          <w:rFonts w:ascii="Times New Roman" w:eastAsia="Calibri" w:hAnsi="Times New Roman" w:cs="Times New Roman"/>
          <w:b/>
          <w:bCs/>
          <w:sz w:val="27"/>
          <w:szCs w:val="27"/>
        </w:rPr>
        <w:t>о состоянии и проблемах законотворчества</w:t>
      </w:r>
    </w:p>
    <w:p w:rsidR="001837C1" w:rsidRPr="001103C2" w:rsidRDefault="001837C1" w:rsidP="001837C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1837C1" w:rsidRPr="001103C2" w:rsidRDefault="001837C1" w:rsidP="001837C1">
      <w:pPr>
        <w:tabs>
          <w:tab w:val="left" w:pos="7893"/>
        </w:tabs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1103C2">
        <w:rPr>
          <w:rFonts w:ascii="Times New Roman" w:hAnsi="Times New Roman" w:cs="Times New Roman"/>
          <w:sz w:val="27"/>
          <w:szCs w:val="27"/>
        </w:rPr>
        <w:t>№ 13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103C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ноябрь - декабрь</w:t>
      </w:r>
      <w:r w:rsidRPr="001103C2">
        <w:rPr>
          <w:rFonts w:ascii="Times New Roman" w:hAnsi="Times New Roman" w:cs="Times New Roman"/>
          <w:sz w:val="27"/>
          <w:szCs w:val="27"/>
        </w:rPr>
        <w:t xml:space="preserve"> 2015</w:t>
      </w:r>
    </w:p>
    <w:p w:rsidR="001837C1" w:rsidRPr="001103C2" w:rsidRDefault="001837C1" w:rsidP="001837C1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837C1" w:rsidRPr="00DC5036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036">
        <w:rPr>
          <w:rFonts w:ascii="Times New Roman" w:hAnsi="Times New Roman" w:cs="Times New Roman"/>
          <w:b/>
          <w:sz w:val="26"/>
          <w:szCs w:val="26"/>
        </w:rPr>
        <w:t xml:space="preserve">Бизнес и власть обсудили налоговую политику </w:t>
      </w:r>
    </w:p>
    <w:p w:rsidR="001837C1" w:rsidRPr="00DC5036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036">
        <w:rPr>
          <w:rFonts w:ascii="Times New Roman" w:hAnsi="Times New Roman" w:cs="Times New Roman"/>
          <w:b/>
          <w:sz w:val="26"/>
          <w:szCs w:val="26"/>
        </w:rPr>
        <w:t>на среднесрочную перспективу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3, 4</w:t>
      </w:r>
      <w:r w:rsidRPr="00DC5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DC5036">
        <w:rPr>
          <w:rFonts w:ascii="Times New Roman" w:hAnsi="Times New Roman" w:cs="Times New Roman"/>
          <w:sz w:val="26"/>
          <w:szCs w:val="26"/>
        </w:rPr>
        <w:t xml:space="preserve"> в Торгово-про</w:t>
      </w:r>
      <w:r>
        <w:rPr>
          <w:rFonts w:ascii="Times New Roman" w:hAnsi="Times New Roman" w:cs="Times New Roman"/>
          <w:sz w:val="26"/>
          <w:szCs w:val="26"/>
        </w:rPr>
        <w:t>мышленной палате РФ состоялся X</w:t>
      </w:r>
      <w:r>
        <w:rPr>
          <w:rFonts w:ascii="Times New Roman" w:hAnsi="Times New Roman" w:cs="Times New Roman"/>
          <w:sz w:val="26"/>
          <w:szCs w:val="26"/>
          <w:lang w:val="en-US"/>
        </w:rPr>
        <w:t>I </w:t>
      </w:r>
      <w:r w:rsidRPr="00DC5036">
        <w:rPr>
          <w:rFonts w:ascii="Times New Roman" w:hAnsi="Times New Roman" w:cs="Times New Roman"/>
          <w:sz w:val="26"/>
          <w:szCs w:val="26"/>
        </w:rPr>
        <w:t>Всероссийский налоговый форум «</w:t>
      </w:r>
      <w:r>
        <w:rPr>
          <w:rFonts w:ascii="Times New Roman" w:hAnsi="Times New Roman" w:cs="Times New Roman"/>
          <w:sz w:val="26"/>
          <w:szCs w:val="26"/>
        </w:rPr>
        <w:t>Налоговая политика: итоги года и перспективы»</w:t>
      </w:r>
      <w:r w:rsidRPr="00DC5036">
        <w:rPr>
          <w:rFonts w:ascii="Times New Roman" w:hAnsi="Times New Roman" w:cs="Times New Roman"/>
          <w:sz w:val="26"/>
          <w:szCs w:val="26"/>
        </w:rPr>
        <w:t xml:space="preserve">. Мероприятия Форума включили в себя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C5036">
        <w:rPr>
          <w:rFonts w:ascii="Times New Roman" w:hAnsi="Times New Roman" w:cs="Times New Roman"/>
          <w:sz w:val="26"/>
          <w:szCs w:val="26"/>
        </w:rPr>
        <w:t xml:space="preserve"> тематических секций, пленарное заседание, участие в которых приняло более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C5036">
        <w:rPr>
          <w:rFonts w:ascii="Times New Roman" w:hAnsi="Times New Roman" w:cs="Times New Roman"/>
          <w:sz w:val="26"/>
          <w:szCs w:val="26"/>
        </w:rPr>
        <w:t>00 человек.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55E">
        <w:rPr>
          <w:rFonts w:ascii="Times New Roman" w:hAnsi="Times New Roman" w:cs="Times New Roman"/>
          <w:sz w:val="26"/>
          <w:szCs w:val="26"/>
        </w:rPr>
        <w:t xml:space="preserve">На Форуме были представлены итоги проведенного </w:t>
      </w:r>
      <w:r>
        <w:rPr>
          <w:rFonts w:ascii="Times New Roman" w:hAnsi="Times New Roman" w:cs="Times New Roman"/>
          <w:sz w:val="26"/>
          <w:szCs w:val="26"/>
        </w:rPr>
        <w:t>Палатой</w:t>
      </w:r>
      <w:r w:rsidRPr="00AD555E">
        <w:rPr>
          <w:rFonts w:ascii="Times New Roman" w:hAnsi="Times New Roman" w:cs="Times New Roman"/>
          <w:sz w:val="26"/>
          <w:szCs w:val="26"/>
        </w:rPr>
        <w:t xml:space="preserve"> исследования по вопросу неналоговых платежей</w:t>
      </w:r>
      <w:r>
        <w:rPr>
          <w:rFonts w:ascii="Times New Roman" w:hAnsi="Times New Roman" w:cs="Times New Roman"/>
          <w:sz w:val="26"/>
          <w:szCs w:val="26"/>
        </w:rPr>
        <w:t xml:space="preserve"> «Налоговая реформа: ревизия «параллельной налоговой системы»</w:t>
      </w:r>
      <w:r w:rsidRPr="00AD555E">
        <w:rPr>
          <w:rFonts w:ascii="Times New Roman" w:hAnsi="Times New Roman" w:cs="Times New Roman"/>
          <w:sz w:val="26"/>
          <w:szCs w:val="26"/>
        </w:rPr>
        <w:t xml:space="preserve">, а также ежегодный налоговый доклад, в который вошли </w:t>
      </w:r>
      <w:r>
        <w:rPr>
          <w:rFonts w:ascii="Times New Roman" w:hAnsi="Times New Roman" w:cs="Times New Roman"/>
          <w:sz w:val="26"/>
          <w:szCs w:val="26"/>
        </w:rPr>
        <w:t xml:space="preserve">результаты анкетирования бизнеса по уровню налоговой нагрузки в 2015 году и </w:t>
      </w:r>
      <w:r w:rsidRPr="00AD555E">
        <w:rPr>
          <w:rFonts w:ascii="Times New Roman" w:hAnsi="Times New Roman" w:cs="Times New Roman"/>
          <w:sz w:val="26"/>
          <w:szCs w:val="26"/>
        </w:rPr>
        <w:t xml:space="preserve">актуальные предложения бизнеса по </w:t>
      </w:r>
      <w:r>
        <w:rPr>
          <w:rFonts w:ascii="Times New Roman" w:hAnsi="Times New Roman" w:cs="Times New Roman"/>
          <w:sz w:val="26"/>
          <w:szCs w:val="26"/>
        </w:rPr>
        <w:t xml:space="preserve">дальнейшему </w:t>
      </w:r>
      <w:r w:rsidRPr="00AD555E">
        <w:rPr>
          <w:rFonts w:ascii="Times New Roman" w:hAnsi="Times New Roman" w:cs="Times New Roman"/>
          <w:sz w:val="26"/>
          <w:szCs w:val="26"/>
        </w:rPr>
        <w:t>совершенствованию налогового законодательства.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36">
        <w:rPr>
          <w:rFonts w:ascii="Times New Roman" w:hAnsi="Times New Roman" w:cs="Times New Roman"/>
          <w:sz w:val="26"/>
          <w:szCs w:val="26"/>
        </w:rPr>
        <w:t>С основным докладом на пленарном заседании выступил Президент ТПП РФ С.Н. Катырин. Он</w:t>
      </w:r>
      <w:r>
        <w:rPr>
          <w:rFonts w:ascii="Times New Roman" w:hAnsi="Times New Roman" w:cs="Times New Roman"/>
          <w:sz w:val="26"/>
          <w:szCs w:val="26"/>
        </w:rPr>
        <w:t xml:space="preserve"> отметил, что </w:t>
      </w:r>
      <w:r w:rsidRPr="00C51C47">
        <w:rPr>
          <w:rFonts w:ascii="Times New Roman" w:hAnsi="Times New Roman" w:cs="Times New Roman"/>
          <w:sz w:val="26"/>
          <w:szCs w:val="26"/>
        </w:rPr>
        <w:t>2015 год ознаменовался рядом существенных измене</w:t>
      </w:r>
      <w:r>
        <w:rPr>
          <w:rFonts w:ascii="Times New Roman" w:hAnsi="Times New Roman" w:cs="Times New Roman"/>
          <w:sz w:val="26"/>
          <w:szCs w:val="26"/>
        </w:rPr>
        <w:t xml:space="preserve">ний налогового законодательства, среди которых можно выделить т.н. налоговую амнистию в рамках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деофшоризации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Российской экономики, снятие</w:t>
      </w:r>
      <w:r w:rsidRPr="00640D88">
        <w:rPr>
          <w:rFonts w:ascii="Times New Roman" w:hAnsi="Times New Roman" w:cs="Times New Roman"/>
          <w:sz w:val="26"/>
          <w:szCs w:val="26"/>
        </w:rPr>
        <w:t xml:space="preserve"> ограничени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D88">
        <w:rPr>
          <w:rFonts w:ascii="Times New Roman" w:hAnsi="Times New Roman" w:cs="Times New Roman"/>
          <w:sz w:val="26"/>
          <w:szCs w:val="26"/>
        </w:rPr>
        <w:t xml:space="preserve"> на применение </w:t>
      </w:r>
      <w:r>
        <w:rPr>
          <w:rFonts w:ascii="Times New Roman" w:hAnsi="Times New Roman" w:cs="Times New Roman"/>
          <w:sz w:val="26"/>
          <w:szCs w:val="26"/>
        </w:rPr>
        <w:t>«упрощенки»</w:t>
      </w:r>
      <w:r w:rsidRPr="00640D88">
        <w:rPr>
          <w:rFonts w:ascii="Times New Roman" w:hAnsi="Times New Roman" w:cs="Times New Roman"/>
          <w:sz w:val="26"/>
          <w:szCs w:val="26"/>
        </w:rPr>
        <w:t xml:space="preserve"> для организаций, имеющих представительства в других регионах</w:t>
      </w:r>
      <w:r>
        <w:rPr>
          <w:rFonts w:ascii="Times New Roman" w:hAnsi="Times New Roman" w:cs="Times New Roman"/>
          <w:sz w:val="26"/>
          <w:szCs w:val="26"/>
        </w:rPr>
        <w:t>, предоставление регионам права снижать налоговые ставки для субъектов малого предпринимательства и др.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С.Н. Катырин подчеркнул, что Р</w:t>
      </w:r>
      <w:r w:rsidRPr="00C51C47">
        <w:rPr>
          <w:rFonts w:ascii="Times New Roman" w:hAnsi="Times New Roman" w:cs="Times New Roman"/>
          <w:sz w:val="26"/>
          <w:szCs w:val="26"/>
        </w:rPr>
        <w:t xml:space="preserve">оссия </w:t>
      </w:r>
      <w:r>
        <w:rPr>
          <w:rFonts w:ascii="Times New Roman" w:hAnsi="Times New Roman" w:cs="Times New Roman"/>
          <w:sz w:val="26"/>
          <w:szCs w:val="26"/>
        </w:rPr>
        <w:t xml:space="preserve">из года в год поднимает свои позиции в рейтинге </w:t>
      </w:r>
      <w:proofErr w:type="spellStart"/>
      <w:r w:rsidRPr="00640D88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640D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0D88">
        <w:rPr>
          <w:rFonts w:ascii="Times New Roman" w:hAnsi="Times New Roman" w:cs="Times New Roman"/>
          <w:sz w:val="26"/>
          <w:szCs w:val="26"/>
        </w:rPr>
        <w:t>Business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 2015 году</w:t>
      </w:r>
      <w:r w:rsidRPr="00640D88">
        <w:rPr>
          <w:rFonts w:ascii="Times New Roman" w:hAnsi="Times New Roman" w:cs="Times New Roman"/>
          <w:sz w:val="26"/>
          <w:szCs w:val="26"/>
        </w:rPr>
        <w:t xml:space="preserve"> поднялась </w:t>
      </w:r>
      <w:r>
        <w:rPr>
          <w:rFonts w:ascii="Times New Roman" w:hAnsi="Times New Roman" w:cs="Times New Roman"/>
          <w:sz w:val="26"/>
          <w:szCs w:val="26"/>
        </w:rPr>
        <w:t xml:space="preserve">еще </w:t>
      </w:r>
      <w:r w:rsidRPr="00640D88">
        <w:rPr>
          <w:rFonts w:ascii="Times New Roman" w:hAnsi="Times New Roman" w:cs="Times New Roman"/>
          <w:sz w:val="26"/>
          <w:szCs w:val="26"/>
        </w:rPr>
        <w:t>на 11 ступеней</w:t>
      </w:r>
      <w:r>
        <w:rPr>
          <w:rFonts w:ascii="Times New Roman" w:hAnsi="Times New Roman" w:cs="Times New Roman"/>
          <w:sz w:val="26"/>
          <w:szCs w:val="26"/>
        </w:rPr>
        <w:t xml:space="preserve"> вверх</w:t>
      </w:r>
      <w:r w:rsidRPr="00640D88">
        <w:rPr>
          <w:rFonts w:ascii="Times New Roman" w:hAnsi="Times New Roman" w:cs="Times New Roman"/>
          <w:sz w:val="26"/>
          <w:szCs w:val="26"/>
        </w:rPr>
        <w:t xml:space="preserve">, оказавшись на 51 позиции из 189. </w:t>
      </w:r>
      <w:r>
        <w:rPr>
          <w:rFonts w:ascii="Times New Roman" w:hAnsi="Times New Roman" w:cs="Times New Roman"/>
          <w:sz w:val="26"/>
          <w:szCs w:val="26"/>
        </w:rPr>
        <w:t>Во многом этому способствовала</w:t>
      </w:r>
      <w:r w:rsidRPr="00C51C47">
        <w:rPr>
          <w:rFonts w:ascii="Times New Roman" w:hAnsi="Times New Roman" w:cs="Times New Roman"/>
          <w:sz w:val="26"/>
          <w:szCs w:val="26"/>
        </w:rPr>
        <w:t xml:space="preserve"> реализация положений Дорожной карты Агентства стратегических инициатив «Совершенствование налогового администрирования»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D88">
        <w:t xml:space="preserve"> </w:t>
      </w:r>
      <w:r w:rsidRPr="00640D88">
        <w:rPr>
          <w:rFonts w:ascii="Times New Roman" w:hAnsi="Times New Roman" w:cs="Times New Roman"/>
          <w:sz w:val="26"/>
          <w:szCs w:val="26"/>
        </w:rPr>
        <w:t>заместителем руководителя которой является представитель ТПП РФ.</w:t>
      </w:r>
      <w:r w:rsidRPr="009630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7088">
        <w:rPr>
          <w:rFonts w:ascii="Times New Roman" w:hAnsi="Times New Roman" w:cs="Times New Roman"/>
          <w:sz w:val="26"/>
          <w:szCs w:val="26"/>
        </w:rPr>
        <w:t xml:space="preserve">Президент Палаты отметил также, </w:t>
      </w:r>
      <w:r w:rsidRPr="002804A3">
        <w:rPr>
          <w:rFonts w:ascii="Times New Roman" w:hAnsi="Times New Roman" w:cs="Times New Roman"/>
          <w:sz w:val="26"/>
          <w:szCs w:val="26"/>
        </w:rPr>
        <w:t xml:space="preserve">что тезис о </w:t>
      </w:r>
      <w:proofErr w:type="spellStart"/>
      <w:r w:rsidRPr="002804A3">
        <w:rPr>
          <w:rFonts w:ascii="Times New Roman" w:hAnsi="Times New Roman" w:cs="Times New Roman"/>
          <w:sz w:val="26"/>
          <w:szCs w:val="26"/>
        </w:rPr>
        <w:t>неповышении</w:t>
      </w:r>
      <w:proofErr w:type="spellEnd"/>
      <w:r w:rsidRPr="002804A3">
        <w:rPr>
          <w:rFonts w:ascii="Times New Roman" w:hAnsi="Times New Roman" w:cs="Times New Roman"/>
          <w:sz w:val="26"/>
          <w:szCs w:val="26"/>
        </w:rPr>
        <w:t xml:space="preserve"> налоговой нагрузки, прозвучавший в конце прошлого года в ежегодном послании Президента РФ В.В. Путина Федеральному Собранию, явился результатом неоднократных обращений бизнеса и </w:t>
      </w:r>
      <w:proofErr w:type="gramStart"/>
      <w:r w:rsidRPr="002804A3">
        <w:rPr>
          <w:rFonts w:ascii="Times New Roman" w:hAnsi="Times New Roman" w:cs="Times New Roman"/>
          <w:sz w:val="26"/>
          <w:szCs w:val="26"/>
        </w:rPr>
        <w:t>бизнес-объединений</w:t>
      </w:r>
      <w:proofErr w:type="gramEnd"/>
      <w:r w:rsidRPr="002804A3">
        <w:rPr>
          <w:rFonts w:ascii="Times New Roman" w:hAnsi="Times New Roman" w:cs="Times New Roman"/>
          <w:sz w:val="26"/>
          <w:szCs w:val="26"/>
        </w:rPr>
        <w:t xml:space="preserve"> о необходимости стабилизировать налоговые условия</w:t>
      </w:r>
      <w:r>
        <w:rPr>
          <w:rFonts w:ascii="Times New Roman" w:hAnsi="Times New Roman" w:cs="Times New Roman"/>
          <w:sz w:val="26"/>
          <w:szCs w:val="26"/>
        </w:rPr>
        <w:t>. Так, по результатам анкетирования, проведенного ТПП РФ, 49 % опрошенных</w:t>
      </w:r>
      <w:r w:rsidRPr="002804A3">
        <w:rPr>
          <w:rFonts w:ascii="Times New Roman" w:hAnsi="Times New Roman" w:cs="Times New Roman"/>
          <w:sz w:val="26"/>
          <w:szCs w:val="26"/>
        </w:rPr>
        <w:t xml:space="preserve"> указали на неизменность налоговых условий</w:t>
      </w:r>
      <w:r>
        <w:rPr>
          <w:rFonts w:ascii="Times New Roman" w:hAnsi="Times New Roman" w:cs="Times New Roman"/>
          <w:sz w:val="26"/>
          <w:szCs w:val="26"/>
        </w:rPr>
        <w:t xml:space="preserve"> в 2015 году.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36">
        <w:rPr>
          <w:rFonts w:ascii="Times New Roman" w:hAnsi="Times New Roman" w:cs="Times New Roman"/>
          <w:sz w:val="26"/>
          <w:szCs w:val="26"/>
        </w:rPr>
        <w:t xml:space="preserve">С.Н. Катырин акцентировал внимание на том, </w:t>
      </w:r>
      <w:r>
        <w:rPr>
          <w:rFonts w:ascii="Times New Roman" w:hAnsi="Times New Roman" w:cs="Times New Roman"/>
          <w:sz w:val="26"/>
          <w:szCs w:val="26"/>
        </w:rPr>
        <w:t>что в</w:t>
      </w:r>
      <w:r w:rsidRPr="009630BA">
        <w:rPr>
          <w:rFonts w:ascii="Times New Roman" w:hAnsi="Times New Roman" w:cs="Times New Roman"/>
          <w:sz w:val="26"/>
          <w:szCs w:val="26"/>
        </w:rPr>
        <w:t xml:space="preserve"> общий уровень налоговой нагрузки на бизнес не включается бремя, которое несет бизнес в связи с уплатой так называемых «неналоговых платежей»</w:t>
      </w:r>
      <w:r w:rsidRPr="00DC50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9630BA">
        <w:rPr>
          <w:rFonts w:ascii="Times New Roman" w:hAnsi="Times New Roman" w:cs="Times New Roman"/>
          <w:sz w:val="26"/>
          <w:szCs w:val="26"/>
        </w:rPr>
        <w:t>а последние годы прозрачность отечественной налоговой системы существенно повысилась. Однако вне рамок Налогового кодекса РФ возникла, по сути, «параллельная налоговая система». Она состоит из нескольких десятков платежей, аналогичных налогам и сборам, - каждый со своими правилами расчёта, уплаты, взыскания и возврата. Их общий объем, по данным</w:t>
      </w:r>
      <w:r>
        <w:rPr>
          <w:rFonts w:ascii="Times New Roman" w:hAnsi="Times New Roman" w:cs="Times New Roman"/>
          <w:sz w:val="26"/>
          <w:szCs w:val="26"/>
        </w:rPr>
        <w:t xml:space="preserve"> Палаты</w:t>
      </w:r>
      <w:r w:rsidRPr="009630BA">
        <w:rPr>
          <w:rFonts w:ascii="Times New Roman" w:hAnsi="Times New Roman" w:cs="Times New Roman"/>
          <w:sz w:val="26"/>
          <w:szCs w:val="26"/>
        </w:rPr>
        <w:t xml:space="preserve">, может скоро составить до 1 % валового внутреннего продукта, а количество уже «перевалило» за 50 позиций. </w:t>
      </w:r>
      <w:r>
        <w:rPr>
          <w:rFonts w:ascii="Times New Roman" w:hAnsi="Times New Roman" w:cs="Times New Roman"/>
          <w:sz w:val="26"/>
          <w:szCs w:val="26"/>
        </w:rPr>
        <w:t>Эту систему надо реформировать: создать единый реестр таких платежей, установить единые правила их установления и взимания, улучшить администрирование и т.д.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заключение</w:t>
      </w:r>
      <w:r w:rsidRPr="00DC5036">
        <w:rPr>
          <w:rFonts w:ascii="Times New Roman" w:hAnsi="Times New Roman" w:cs="Times New Roman"/>
          <w:sz w:val="26"/>
          <w:szCs w:val="26"/>
        </w:rPr>
        <w:t xml:space="preserve"> С.Н. Катырин подчеркнул, что </w:t>
      </w:r>
      <w:r w:rsidRPr="001A6B76">
        <w:rPr>
          <w:rFonts w:ascii="Times New Roman" w:hAnsi="Times New Roman" w:cs="Times New Roman"/>
          <w:sz w:val="26"/>
          <w:szCs w:val="26"/>
        </w:rPr>
        <w:t>налоговая система должна быть настроена на улучшение качества инвестиционного климата, повышение предпринимательской активности, совершенствование структуры экономики, повышение ее конкурентоспособности, прежде всего, на рынках наукоемкой, высокотехнологичной продукции</w:t>
      </w:r>
      <w:r w:rsidRPr="00DC5036">
        <w:rPr>
          <w:rFonts w:ascii="Times New Roman" w:hAnsi="Times New Roman" w:cs="Times New Roman"/>
          <w:sz w:val="26"/>
          <w:szCs w:val="26"/>
        </w:rPr>
        <w:t>.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36">
        <w:rPr>
          <w:rFonts w:ascii="Times New Roman" w:hAnsi="Times New Roman" w:cs="Times New Roman"/>
          <w:sz w:val="26"/>
          <w:szCs w:val="26"/>
        </w:rPr>
        <w:t xml:space="preserve">Руководитель ФНС России М.В. </w:t>
      </w:r>
      <w:proofErr w:type="spellStart"/>
      <w:r w:rsidRPr="00DC5036">
        <w:rPr>
          <w:rFonts w:ascii="Times New Roman" w:hAnsi="Times New Roman" w:cs="Times New Roman"/>
          <w:sz w:val="26"/>
          <w:szCs w:val="26"/>
        </w:rPr>
        <w:t>Мишустин</w:t>
      </w:r>
      <w:proofErr w:type="spellEnd"/>
      <w:r w:rsidRPr="00DC5036">
        <w:rPr>
          <w:rFonts w:ascii="Times New Roman" w:hAnsi="Times New Roman" w:cs="Times New Roman"/>
          <w:sz w:val="26"/>
          <w:szCs w:val="26"/>
        </w:rPr>
        <w:t xml:space="preserve"> выступил с докладом, в котором подвел предварительные итоги деятельности ФНС России за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C5036">
        <w:rPr>
          <w:rFonts w:ascii="Times New Roman" w:hAnsi="Times New Roman" w:cs="Times New Roman"/>
          <w:sz w:val="26"/>
          <w:szCs w:val="26"/>
        </w:rPr>
        <w:t xml:space="preserve"> год. Он, в частности, подчеркнул, </w:t>
      </w:r>
      <w:r>
        <w:rPr>
          <w:rFonts w:ascii="Times New Roman" w:hAnsi="Times New Roman" w:cs="Times New Roman"/>
          <w:sz w:val="26"/>
          <w:szCs w:val="26"/>
        </w:rPr>
        <w:t>что</w:t>
      </w:r>
      <w:r w:rsidRPr="001A6B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A6B76">
        <w:rPr>
          <w:rFonts w:ascii="Times New Roman" w:hAnsi="Times New Roman" w:cs="Times New Roman"/>
          <w:sz w:val="26"/>
          <w:szCs w:val="26"/>
        </w:rPr>
        <w:t xml:space="preserve">последние годы </w:t>
      </w:r>
      <w:r>
        <w:rPr>
          <w:rFonts w:ascii="Times New Roman" w:hAnsi="Times New Roman" w:cs="Times New Roman"/>
          <w:sz w:val="26"/>
          <w:szCs w:val="26"/>
        </w:rPr>
        <w:t>Служба</w:t>
      </w:r>
      <w:r w:rsidRPr="001A6B76">
        <w:rPr>
          <w:rFonts w:ascii="Times New Roman" w:hAnsi="Times New Roman" w:cs="Times New Roman"/>
          <w:sz w:val="26"/>
          <w:szCs w:val="26"/>
        </w:rPr>
        <w:t xml:space="preserve"> сделала а</w:t>
      </w:r>
      <w:r>
        <w:rPr>
          <w:rFonts w:ascii="Times New Roman" w:hAnsi="Times New Roman" w:cs="Times New Roman"/>
          <w:sz w:val="26"/>
          <w:szCs w:val="26"/>
        </w:rPr>
        <w:t>кцент на аналитику и технологии, в результате чего</w:t>
      </w:r>
      <w:r w:rsidRPr="001A6B76">
        <w:rPr>
          <w:rFonts w:ascii="Times New Roman" w:hAnsi="Times New Roman" w:cs="Times New Roman"/>
          <w:sz w:val="26"/>
          <w:szCs w:val="26"/>
        </w:rPr>
        <w:t xml:space="preserve"> удалось выстроить прозрачный, эффективный и управляемый механизм налогового администрирования, позволяющий добиваться высоких результатов по сбору доходов, обеспечивая почти 60% бюджета страны</w:t>
      </w:r>
      <w:r w:rsidRPr="00DC503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1A6B76">
        <w:rPr>
          <w:rFonts w:ascii="Times New Roman" w:hAnsi="Times New Roman" w:cs="Times New Roman"/>
          <w:sz w:val="26"/>
          <w:szCs w:val="26"/>
        </w:rPr>
        <w:t xml:space="preserve">высокие показатели сбора налогов </w:t>
      </w:r>
      <w:r>
        <w:rPr>
          <w:rFonts w:ascii="Times New Roman" w:hAnsi="Times New Roman" w:cs="Times New Roman"/>
          <w:sz w:val="26"/>
          <w:szCs w:val="26"/>
        </w:rPr>
        <w:t>явились</w:t>
      </w:r>
      <w:r w:rsidRPr="001A6B76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A6B76">
        <w:rPr>
          <w:rFonts w:ascii="Times New Roman" w:hAnsi="Times New Roman" w:cs="Times New Roman"/>
          <w:sz w:val="26"/>
          <w:szCs w:val="26"/>
        </w:rPr>
        <w:t xml:space="preserve"> целенаправленной работы по созданию конструктивной доверительной среды между налоговыми органами и бизнесом, снижению административных барьеров и повышению налоговой грамотности и сознательности бизнеса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37C1" w:rsidRPr="00DC503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словам </w:t>
      </w:r>
      <w:r w:rsidRPr="00DC5036">
        <w:rPr>
          <w:rFonts w:ascii="Times New Roman" w:hAnsi="Times New Roman" w:cs="Times New Roman"/>
          <w:sz w:val="26"/>
          <w:szCs w:val="26"/>
        </w:rPr>
        <w:t>М.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DC5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036">
        <w:rPr>
          <w:rFonts w:ascii="Times New Roman" w:hAnsi="Times New Roman" w:cs="Times New Roman"/>
          <w:sz w:val="26"/>
          <w:szCs w:val="26"/>
        </w:rPr>
        <w:t>Мишустина</w:t>
      </w:r>
      <w:proofErr w:type="spellEnd"/>
      <w:r w:rsidRPr="00DC503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налоговая служба</w:t>
      </w:r>
      <w:r w:rsidRPr="00C17332">
        <w:rPr>
          <w:rFonts w:ascii="Times New Roman" w:hAnsi="Times New Roman" w:cs="Times New Roman"/>
          <w:sz w:val="26"/>
          <w:szCs w:val="26"/>
        </w:rPr>
        <w:t xml:space="preserve"> изменила стратегию контрольной работы, построив ее исключительно на экономическом анализе налогоплательщиков и </w:t>
      </w:r>
      <w:proofErr w:type="gramStart"/>
      <w:r w:rsidRPr="00C17332">
        <w:rPr>
          <w:rFonts w:ascii="Times New Roman" w:hAnsi="Times New Roman" w:cs="Times New Roman"/>
          <w:sz w:val="26"/>
          <w:szCs w:val="26"/>
        </w:rPr>
        <w:t>риск-ориентированном</w:t>
      </w:r>
      <w:proofErr w:type="gramEnd"/>
      <w:r w:rsidRPr="00C17332">
        <w:rPr>
          <w:rFonts w:ascii="Times New Roman" w:hAnsi="Times New Roman" w:cs="Times New Roman"/>
          <w:sz w:val="26"/>
          <w:szCs w:val="26"/>
        </w:rPr>
        <w:t xml:space="preserve"> подходе</w:t>
      </w:r>
      <w:r w:rsidRPr="00DC5036">
        <w:rPr>
          <w:rFonts w:ascii="Times New Roman" w:hAnsi="Times New Roman" w:cs="Times New Roman"/>
          <w:sz w:val="26"/>
          <w:szCs w:val="26"/>
        </w:rPr>
        <w:t>.</w:t>
      </w:r>
      <w:r w:rsidRPr="00C17332">
        <w:t xml:space="preserve"> </w:t>
      </w:r>
      <w:r w:rsidRPr="00C17332">
        <w:rPr>
          <w:rFonts w:ascii="Times New Roman" w:hAnsi="Times New Roman" w:cs="Times New Roman"/>
          <w:sz w:val="26"/>
          <w:szCs w:val="26"/>
        </w:rPr>
        <w:t>Эта стратегия уже доказала свою эффективность: проверок бизнес</w:t>
      </w:r>
      <w:r>
        <w:rPr>
          <w:rFonts w:ascii="Times New Roman" w:hAnsi="Times New Roman" w:cs="Times New Roman"/>
          <w:sz w:val="26"/>
          <w:szCs w:val="26"/>
        </w:rPr>
        <w:t xml:space="preserve">а стало меньше, а качество их </w:t>
      </w:r>
      <w:r w:rsidRPr="00C17332">
        <w:rPr>
          <w:rFonts w:ascii="Times New Roman" w:hAnsi="Times New Roman" w:cs="Times New Roman"/>
          <w:sz w:val="26"/>
          <w:szCs w:val="26"/>
        </w:rPr>
        <w:t>выше.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пояснил Руководитель ФНС России, с</w:t>
      </w:r>
      <w:r w:rsidRPr="00C17332">
        <w:rPr>
          <w:rFonts w:ascii="Times New Roman" w:hAnsi="Times New Roman" w:cs="Times New Roman"/>
          <w:sz w:val="26"/>
          <w:szCs w:val="26"/>
        </w:rPr>
        <w:t>низить давление на бизнес и вывести из зоны контроля добросовестных предпринимателей позволила и внедренная в этом году автоматизированная система АСК НДС-2. Система позволяет автоматически выявлять и пресекать случаи уклонения от уплаты НДС или попытки мошеннического возмещения налога, способствуя тем самым созданию равных условий для всех игроков рынка. С помощью данной технологии за 9 месяцев 2015 года в систему загружено 5,2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17332">
        <w:rPr>
          <w:rFonts w:ascii="Times New Roman" w:hAnsi="Times New Roman" w:cs="Times New Roman"/>
          <w:sz w:val="26"/>
          <w:szCs w:val="26"/>
        </w:rPr>
        <w:t xml:space="preserve"> деклараций по Н</w:t>
      </w:r>
      <w:proofErr w:type="gramStart"/>
      <w:r w:rsidRPr="00C17332">
        <w:rPr>
          <w:rFonts w:ascii="Times New Roman" w:hAnsi="Times New Roman" w:cs="Times New Roman"/>
          <w:sz w:val="26"/>
          <w:szCs w:val="26"/>
        </w:rPr>
        <w:t>ДС с пр</w:t>
      </w:r>
      <w:proofErr w:type="gramEnd"/>
      <w:r w:rsidRPr="00C17332">
        <w:rPr>
          <w:rFonts w:ascii="Times New Roman" w:hAnsi="Times New Roman" w:cs="Times New Roman"/>
          <w:sz w:val="26"/>
          <w:szCs w:val="26"/>
        </w:rPr>
        <w:t>иложением книг покупок и продаж. По результатам сопоставления выявленных расхождений сформировано и направлено налогоплательщикам 360 тысяч требований о предоставлении пояснений.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1526">
        <w:rPr>
          <w:rFonts w:ascii="Times New Roman" w:hAnsi="Times New Roman" w:cs="Times New Roman"/>
          <w:sz w:val="26"/>
          <w:szCs w:val="26"/>
        </w:rPr>
        <w:t>Минимизировать риски бизнеса позволил и институт налогового мониторинга, который был введен ФНС России в 2015 году. Службой уже заключено 6 соглашений о налоговом мониторинге. Кроме того, предполагается ввести институт предварительного налогового разъяснения (</w:t>
      </w:r>
      <w:proofErr w:type="spellStart"/>
      <w:r w:rsidRPr="00DB1526">
        <w:rPr>
          <w:rFonts w:ascii="Times New Roman" w:hAnsi="Times New Roman" w:cs="Times New Roman"/>
          <w:sz w:val="26"/>
          <w:szCs w:val="26"/>
        </w:rPr>
        <w:t>рулинга</w:t>
      </w:r>
      <w:proofErr w:type="spellEnd"/>
      <w:r w:rsidRPr="00DB1526">
        <w:rPr>
          <w:rFonts w:ascii="Times New Roman" w:hAnsi="Times New Roman" w:cs="Times New Roman"/>
          <w:sz w:val="26"/>
          <w:szCs w:val="26"/>
        </w:rPr>
        <w:t>), который уже успешно функционирует в зарубежных правовых системах. Это даст налогоплательщикам возможность получать информацию о налоговых последствиях сде</w:t>
      </w:r>
      <w:r>
        <w:rPr>
          <w:rFonts w:ascii="Times New Roman" w:hAnsi="Times New Roman" w:cs="Times New Roman"/>
          <w:sz w:val="26"/>
          <w:szCs w:val="26"/>
        </w:rPr>
        <w:t>лки, которую они только планирую</w:t>
      </w:r>
      <w:r w:rsidRPr="00DB1526">
        <w:rPr>
          <w:rFonts w:ascii="Times New Roman" w:hAnsi="Times New Roman" w:cs="Times New Roman"/>
          <w:sz w:val="26"/>
          <w:szCs w:val="26"/>
        </w:rPr>
        <w:t>т совершить, и сыграет существенную роль в стимулировании деловой активности.</w:t>
      </w:r>
    </w:p>
    <w:p w:rsidR="001837C1" w:rsidRPr="005C4575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5036">
        <w:rPr>
          <w:rFonts w:ascii="Times New Roman" w:hAnsi="Times New Roman" w:cs="Times New Roman"/>
          <w:sz w:val="26"/>
          <w:szCs w:val="26"/>
        </w:rPr>
        <w:t>По итогам Форума рекомендации бизнеса направлены в Администрацию Президента РФ, Правительство Российской Федерации, Минфин России, Минэкономразвития Р</w:t>
      </w:r>
      <w:r>
        <w:rPr>
          <w:rFonts w:ascii="Times New Roman" w:hAnsi="Times New Roman" w:cs="Times New Roman"/>
          <w:sz w:val="26"/>
          <w:szCs w:val="26"/>
        </w:rPr>
        <w:t xml:space="preserve">оссии, Федеральное Собрание РФ </w:t>
      </w:r>
      <w:r w:rsidRPr="00DC5036">
        <w:rPr>
          <w:rFonts w:ascii="Times New Roman" w:hAnsi="Times New Roman" w:cs="Times New Roman"/>
          <w:sz w:val="26"/>
          <w:szCs w:val="26"/>
        </w:rPr>
        <w:t>и др.</w:t>
      </w:r>
      <w:r>
        <w:rPr>
          <w:rFonts w:ascii="Times New Roman" w:hAnsi="Times New Roman" w:cs="Times New Roman"/>
          <w:sz w:val="26"/>
          <w:szCs w:val="26"/>
        </w:rPr>
        <w:t xml:space="preserve"> В частности, в рекомендациях отмечается, что  </w:t>
      </w:r>
      <w:r w:rsidRPr="005C4575">
        <w:rPr>
          <w:rFonts w:ascii="Times New Roman" w:hAnsi="Times New Roman" w:cs="Times New Roman"/>
          <w:sz w:val="26"/>
          <w:szCs w:val="26"/>
        </w:rPr>
        <w:t>при реализации налоговой политики в 2016-2018 годах в приоритетном порядке должны решаться следующие основные задачи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5C4575">
        <w:rPr>
          <w:rFonts w:ascii="Times New Roman" w:hAnsi="Times New Roman" w:cs="Times New Roman"/>
          <w:sz w:val="26"/>
          <w:szCs w:val="26"/>
        </w:rPr>
        <w:t xml:space="preserve"> дальнейшее противодействие незаконному перемещению налоговой базы за пределы налоговой </w:t>
      </w:r>
      <w:r>
        <w:rPr>
          <w:rFonts w:ascii="Times New Roman" w:hAnsi="Times New Roman" w:cs="Times New Roman"/>
          <w:sz w:val="26"/>
          <w:szCs w:val="26"/>
        </w:rPr>
        <w:t>юрисдикции Российской Федерации,</w:t>
      </w:r>
      <w:r w:rsidRPr="005C4575">
        <w:rPr>
          <w:rFonts w:ascii="Times New Roman" w:hAnsi="Times New Roman" w:cs="Times New Roman"/>
          <w:sz w:val="26"/>
          <w:szCs w:val="26"/>
        </w:rPr>
        <w:t xml:space="preserve"> введение дополнительны мер налогового стимулирования</w:t>
      </w:r>
      <w:proofErr w:type="gramEnd"/>
      <w:r w:rsidRPr="005C4575">
        <w:rPr>
          <w:rFonts w:ascii="Times New Roman" w:hAnsi="Times New Roman" w:cs="Times New Roman"/>
          <w:sz w:val="26"/>
          <w:szCs w:val="26"/>
        </w:rPr>
        <w:t xml:space="preserve"> развития новых промышленных производств, а также мер, направленных на модернизацию и расширение производственных мощностей уже сущест</w:t>
      </w:r>
      <w:r>
        <w:rPr>
          <w:rFonts w:ascii="Times New Roman" w:hAnsi="Times New Roman" w:cs="Times New Roman"/>
          <w:sz w:val="26"/>
          <w:szCs w:val="26"/>
        </w:rPr>
        <w:t>вующих промышленных предприятий,</w:t>
      </w:r>
      <w:r w:rsidRPr="005C4575">
        <w:rPr>
          <w:rFonts w:ascii="Times New Roman" w:hAnsi="Times New Roman" w:cs="Times New Roman"/>
          <w:sz w:val="26"/>
          <w:szCs w:val="26"/>
        </w:rPr>
        <w:t xml:space="preserve"> создание дальнейших благоприятных налоговых условий для развития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</w:t>
      </w:r>
      <w:r w:rsidRPr="005C4575">
        <w:rPr>
          <w:rFonts w:ascii="Times New Roman" w:hAnsi="Times New Roman" w:cs="Times New Roman"/>
          <w:sz w:val="26"/>
          <w:szCs w:val="26"/>
        </w:rPr>
        <w:t xml:space="preserve"> проведение мониторинга нагрузки на бизнес, которую он несет за счет уплаты неналоговых платежей, их систематизация и дальнейшая ревизия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BD">
        <w:rPr>
          <w:rFonts w:ascii="Times New Roman" w:hAnsi="Times New Roman" w:cs="Times New Roman"/>
          <w:b/>
          <w:sz w:val="26"/>
          <w:szCs w:val="26"/>
        </w:rPr>
        <w:t>Новый Закон укрепит систему торгово-промышленных палат в Российской Федерации</w:t>
      </w:r>
    </w:p>
    <w:p w:rsidR="001837C1" w:rsidRPr="00931DBD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7C1" w:rsidRPr="00CF1EA9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1EA9">
        <w:rPr>
          <w:rFonts w:ascii="Times New Roman" w:hAnsi="Times New Roman" w:cs="Times New Roman"/>
          <w:sz w:val="26"/>
          <w:szCs w:val="26"/>
        </w:rPr>
        <w:t>22 декабря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Думой </w:t>
      </w:r>
      <w:r w:rsidRPr="00CF1EA9">
        <w:rPr>
          <w:rFonts w:ascii="Times New Roman" w:hAnsi="Times New Roman" w:cs="Times New Roman"/>
          <w:sz w:val="26"/>
          <w:szCs w:val="26"/>
        </w:rPr>
        <w:t>принят Федеральный закон «О внесении изменений в Закон Российской Федерации «О торгово-промышленных палатах в Российской Федерации» (далее – Закон</w:t>
      </w:r>
      <w:r>
        <w:rPr>
          <w:rFonts w:ascii="Times New Roman" w:hAnsi="Times New Roman" w:cs="Times New Roman"/>
          <w:sz w:val="26"/>
          <w:szCs w:val="26"/>
        </w:rPr>
        <w:t xml:space="preserve"> о ТПП</w:t>
      </w:r>
      <w:r w:rsidRPr="00CF1EA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1EA9">
        <w:rPr>
          <w:rFonts w:ascii="Times New Roman" w:hAnsi="Times New Roman" w:cs="Times New Roman"/>
          <w:sz w:val="26"/>
          <w:szCs w:val="26"/>
        </w:rPr>
        <w:t xml:space="preserve">Действующий в настоящее время Закон </w:t>
      </w:r>
      <w:r>
        <w:rPr>
          <w:rFonts w:ascii="Times New Roman" w:hAnsi="Times New Roman" w:cs="Times New Roman"/>
          <w:sz w:val="26"/>
          <w:szCs w:val="26"/>
        </w:rPr>
        <w:t xml:space="preserve">о ТПП </w:t>
      </w:r>
      <w:r w:rsidRPr="00CF1EA9">
        <w:rPr>
          <w:rFonts w:ascii="Times New Roman" w:hAnsi="Times New Roman" w:cs="Times New Roman"/>
          <w:sz w:val="26"/>
          <w:szCs w:val="26"/>
        </w:rPr>
        <w:t>был принят в 1993 году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F1EA9">
        <w:rPr>
          <w:rFonts w:ascii="Times New Roman" w:hAnsi="Times New Roman" w:cs="Times New Roman"/>
          <w:sz w:val="26"/>
          <w:szCs w:val="26"/>
        </w:rPr>
        <w:t xml:space="preserve"> Поскольку Закон о ТПП действует уже более 20 лет, назрела необходимость внесения в него целого ряда изменений, которые должны способствовать более эффективному выполнению торгово-промышленными палатами своих функций. В связи с этим </w:t>
      </w:r>
      <w:proofErr w:type="gramStart"/>
      <w:r w:rsidRPr="00CF1EA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F1EA9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 Российской Федерации </w:t>
      </w:r>
      <w:proofErr w:type="spellStart"/>
      <w:r w:rsidRPr="00CF1EA9">
        <w:rPr>
          <w:rFonts w:ascii="Times New Roman" w:hAnsi="Times New Roman" w:cs="Times New Roman"/>
          <w:sz w:val="26"/>
          <w:szCs w:val="26"/>
        </w:rPr>
        <w:t>В.В.Путина</w:t>
      </w:r>
      <w:proofErr w:type="spellEnd"/>
      <w:r w:rsidRPr="00CF1EA9">
        <w:rPr>
          <w:rFonts w:ascii="Times New Roman" w:hAnsi="Times New Roman" w:cs="Times New Roman"/>
          <w:sz w:val="26"/>
          <w:szCs w:val="26"/>
        </w:rPr>
        <w:t xml:space="preserve"> от 9 декабря 2014 года № Пр-2852 </w:t>
      </w:r>
      <w:r>
        <w:rPr>
          <w:rFonts w:ascii="Times New Roman" w:hAnsi="Times New Roman" w:cs="Times New Roman"/>
          <w:sz w:val="26"/>
          <w:szCs w:val="26"/>
        </w:rPr>
        <w:t xml:space="preserve">Торгово-промышленной палатой России были </w:t>
      </w:r>
      <w:r w:rsidRPr="00CF1EA9">
        <w:rPr>
          <w:rFonts w:ascii="Times New Roman" w:hAnsi="Times New Roman" w:cs="Times New Roman"/>
          <w:sz w:val="26"/>
          <w:szCs w:val="26"/>
        </w:rPr>
        <w:t>разработаны изменения в Закон</w:t>
      </w:r>
      <w:r>
        <w:rPr>
          <w:rFonts w:ascii="Times New Roman" w:hAnsi="Times New Roman" w:cs="Times New Roman"/>
          <w:sz w:val="26"/>
          <w:szCs w:val="26"/>
        </w:rPr>
        <w:t xml:space="preserve"> о ТПП. </w:t>
      </w:r>
    </w:p>
    <w:p w:rsidR="001837C1" w:rsidRPr="00CF1EA9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новом </w:t>
      </w:r>
      <w:r w:rsidRPr="00CF1EA9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F1EA9">
        <w:rPr>
          <w:rFonts w:ascii="Times New Roman" w:hAnsi="Times New Roman" w:cs="Times New Roman"/>
          <w:sz w:val="26"/>
          <w:szCs w:val="26"/>
        </w:rPr>
        <w:t xml:space="preserve"> закрепляется определение торгово-промышленной палаты в качестве союза, уточняется порядок ее образования и компетенция органов управления, расширяются права и функции палат по вопросам развития предпринимательства, защиты и представления интересов предпринимателей в органах власти. В частности, скорректировано положение о минимальном количестве учредителей для образования торгово-промышленной палаты - не менее чем 30 учредителей. Принимая во внимание, что в России уже создано 182 территориальные торгово-промышленные палаты, целью увеличения числа учредителей является совершенствование порядка образования палат, а именно, создание их на территориях с относительно высокой предпринимательской активностью. Это позволит обеспечить защиту интересов представителей бизнеса там, где это действительно необходимо.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1EA9">
        <w:rPr>
          <w:rFonts w:ascii="Times New Roman" w:hAnsi="Times New Roman" w:cs="Times New Roman"/>
          <w:sz w:val="26"/>
          <w:szCs w:val="26"/>
        </w:rPr>
        <w:t>Также Законом уточнены положения, касающиеся членства территориальных торгово-промышленных палат в ТПП России. Предусматривается, что членство территориальных палат в ТПП России становится обязательным. Аналогичные положения предусмотрены и в отношении членства торгово-промышленных палат муниципальных образований в торгово-промышленной палате соответствующего субъекта Российской Федерации. Предлагаемые изменения существенно укрепят организационные начала в построении системы торгово-промышленных палат в Российской Федерации.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Законом устанавливаются особенности регистрации торгово-промышленных палат. Например, н</w:t>
      </w:r>
      <w:r w:rsidRPr="00A7182D">
        <w:rPr>
          <w:rFonts w:ascii="Times New Roman" w:hAnsi="Times New Roman" w:cs="Times New Roman"/>
          <w:sz w:val="26"/>
          <w:szCs w:val="26"/>
        </w:rPr>
        <w:t xml:space="preserve">аряду с документами, необходимыми для государственной регистрации палаты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7182D">
        <w:rPr>
          <w:rFonts w:ascii="Times New Roman" w:hAnsi="Times New Roman" w:cs="Times New Roman"/>
          <w:sz w:val="26"/>
          <w:szCs w:val="26"/>
        </w:rPr>
        <w:t>«О некоммерческих организациях», в федеральный орган государственной регистрации или его территориальный орган представляются решение Т</w:t>
      </w:r>
      <w:r>
        <w:rPr>
          <w:rFonts w:ascii="Times New Roman" w:hAnsi="Times New Roman" w:cs="Times New Roman"/>
          <w:sz w:val="26"/>
          <w:szCs w:val="26"/>
        </w:rPr>
        <w:t>ПП РФ</w:t>
      </w:r>
      <w:r w:rsidRPr="00A7182D">
        <w:rPr>
          <w:rFonts w:ascii="Times New Roman" w:hAnsi="Times New Roman" w:cs="Times New Roman"/>
          <w:sz w:val="26"/>
          <w:szCs w:val="26"/>
        </w:rPr>
        <w:t xml:space="preserve"> о согласии на создание торгово-промышленной палаты и заключение Т</w:t>
      </w:r>
      <w:r>
        <w:rPr>
          <w:rFonts w:ascii="Times New Roman" w:hAnsi="Times New Roman" w:cs="Times New Roman"/>
          <w:sz w:val="26"/>
          <w:szCs w:val="26"/>
        </w:rPr>
        <w:t>ПП РФ</w:t>
      </w:r>
      <w:r w:rsidRPr="00A7182D">
        <w:rPr>
          <w:rFonts w:ascii="Times New Roman" w:hAnsi="Times New Roman" w:cs="Times New Roman"/>
          <w:sz w:val="26"/>
          <w:szCs w:val="26"/>
        </w:rPr>
        <w:t xml:space="preserve"> о соответствии устава торгово-промышленной палаты уставу Торгово-промышленной палаты Российской Федерации.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1EA9">
        <w:rPr>
          <w:rFonts w:ascii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>существенно расширен круг прав и функций палат. Например, т</w:t>
      </w:r>
      <w:r w:rsidRPr="00646ACE">
        <w:rPr>
          <w:rFonts w:ascii="Times New Roman" w:hAnsi="Times New Roman" w:cs="Times New Roman"/>
          <w:sz w:val="26"/>
          <w:szCs w:val="26"/>
        </w:rPr>
        <w:t>оргово-промышленные палаты имеют право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 xml:space="preserve">участвовать в подготовке проектов законов и иных нормативных правовых актов, затрагивающих интересы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предпринимателей</w:t>
      </w:r>
      <w:r w:rsidRPr="00646ACE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>участвовать в формировании и реализации государственной политики в области развития предпринимательства, в том числе путем участия в разработке и реализации государственных и муниципальных программ и проектов в области развития предпринимательства; оказывать юридическую, информационную, консультационную и иную помощь организациям, индивидуальным предпринимателям и гражданам по вопросам, связанным с предпринимательской деятельностью;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>оказывать содействие организациям и индивидуальным предпринимателям в патентовании изобретений, полезных моделей, промышленных образцов, регистрации товарных знаков, знаков обслуживания и наименований мест происхождения товаров, топологий интегральных микросхем, программ для электронных вычислительных машин, баз данных, осуществлении других  авторских и смежных прав, а также оказывать содействие в оценке, реализации и защите интеллектуальных прав;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6ACE">
        <w:rPr>
          <w:rFonts w:ascii="Times New Roman" w:hAnsi="Times New Roman" w:cs="Times New Roman"/>
          <w:sz w:val="26"/>
          <w:szCs w:val="26"/>
        </w:rPr>
        <w:t>проводить экспертизу по определению страны происхождения товаров, иные экспертизы и контроль качества, количества и комплектности товаров, а также экспертизу выполненных работ и оказанных услуг;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>выдавать сертификаты о происхождении товаров, удостоверять документы, связанные с осуществлением внешнеэкономической 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>выдавать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муниципальных нужд;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 xml:space="preserve">проводить независимую идентификационную </w:t>
      </w:r>
      <w:r>
        <w:rPr>
          <w:rFonts w:ascii="Times New Roman" w:hAnsi="Times New Roman" w:cs="Times New Roman"/>
          <w:sz w:val="26"/>
          <w:szCs w:val="26"/>
        </w:rPr>
        <w:t xml:space="preserve">экспертизу товаров и технологий; </w:t>
      </w:r>
      <w:r w:rsidRPr="00646ACE">
        <w:rPr>
          <w:rFonts w:ascii="Times New Roman" w:hAnsi="Times New Roman" w:cs="Times New Roman"/>
          <w:sz w:val="26"/>
          <w:szCs w:val="26"/>
        </w:rPr>
        <w:t>образовывать для разрешения гражданско-правовых споров, в том числе с участием членов торгово-промышленных палат, в соответствии с законодательством Российской Федерации третейские суды, утверждать положения о них, порядок рассмотрения споров третейскими судами и списки третейских судей (арбитров), рекомендовать третейские соглашения, третейские (арбитражные) оговорки;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ACE">
        <w:rPr>
          <w:rFonts w:ascii="Times New Roman" w:hAnsi="Times New Roman" w:cs="Times New Roman"/>
          <w:sz w:val="26"/>
          <w:szCs w:val="26"/>
        </w:rPr>
        <w:t>участвовать в выработке и реализации мер по противодействию коррупции при осуществлении хозяйственной деятельности; участвовать в разработке проектов технических регламентов и стандартов, осуществлять оценку соответствия товаров, работ, услуг и систем качества техническим регламентам и стандартам;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46ACE">
        <w:rPr>
          <w:rFonts w:ascii="Times New Roman" w:hAnsi="Times New Roman" w:cs="Times New Roman"/>
          <w:sz w:val="26"/>
          <w:szCs w:val="26"/>
        </w:rPr>
        <w:t>рганизовывать профессиональное обучение, повышение квалификации и профессиональную переподготовку кадров для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D45DB">
        <w:rPr>
          <w:rFonts w:ascii="Times New Roman" w:hAnsi="Times New Roman" w:cs="Times New Roman"/>
          <w:sz w:val="26"/>
          <w:szCs w:val="26"/>
        </w:rPr>
        <w:t xml:space="preserve">торгово-промышленные палаты смогут теперь выполнять функции организаций, входящих в состав инфраструктуры поддержки деятельности в сфере промышленности, а также  организаций, образующих инфраструктуру поддержки субъектов малого и среднего предпринимательства. 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прав торгово-промышленных палат не является закрытым, поэтому палаты смогут </w:t>
      </w:r>
      <w:r w:rsidRPr="00646ACE">
        <w:rPr>
          <w:rFonts w:ascii="Times New Roman" w:hAnsi="Times New Roman" w:cs="Times New Roman"/>
          <w:sz w:val="26"/>
          <w:szCs w:val="26"/>
        </w:rPr>
        <w:t xml:space="preserve">выполнять </w:t>
      </w:r>
      <w:r>
        <w:rPr>
          <w:rFonts w:ascii="Times New Roman" w:hAnsi="Times New Roman" w:cs="Times New Roman"/>
          <w:sz w:val="26"/>
          <w:szCs w:val="26"/>
        </w:rPr>
        <w:t xml:space="preserve">и иные </w:t>
      </w:r>
      <w:r w:rsidRPr="00646ACE">
        <w:rPr>
          <w:rFonts w:ascii="Times New Roman" w:hAnsi="Times New Roman" w:cs="Times New Roman"/>
          <w:sz w:val="26"/>
          <w:szCs w:val="26"/>
        </w:rPr>
        <w:t>согласованные с</w:t>
      </w:r>
      <w:r>
        <w:rPr>
          <w:rFonts w:ascii="Times New Roman" w:hAnsi="Times New Roman" w:cs="Times New Roman"/>
          <w:sz w:val="26"/>
          <w:szCs w:val="26"/>
        </w:rPr>
        <w:t xml:space="preserve"> ними </w:t>
      </w:r>
      <w:r w:rsidRPr="00646ACE">
        <w:rPr>
          <w:rFonts w:ascii="Times New Roman" w:hAnsi="Times New Roman" w:cs="Times New Roman"/>
          <w:sz w:val="26"/>
          <w:szCs w:val="26"/>
        </w:rPr>
        <w:t>функции в сфере экономики, возложенные  на  торгово-промышленные палаты федеральными органами исполнительной власти, органами исполнительной власти субъектов Российской Федерации, органами местного самоуправления.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01E2">
        <w:rPr>
          <w:rFonts w:ascii="Times New Roman" w:hAnsi="Times New Roman" w:cs="Times New Roman"/>
          <w:sz w:val="26"/>
          <w:szCs w:val="26"/>
        </w:rPr>
        <w:t>Принятие законопроекта позволит торгово-промышленным палатам более эффективно выполнять свои функции в целях модернизации российской экономики и развития бизнеса.</w:t>
      </w:r>
    </w:p>
    <w:p w:rsidR="001837C1" w:rsidRPr="0038443F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443F">
        <w:rPr>
          <w:rFonts w:ascii="Times New Roman" w:hAnsi="Times New Roman" w:cs="Times New Roman"/>
          <w:sz w:val="26"/>
          <w:szCs w:val="26"/>
        </w:rPr>
        <w:t xml:space="preserve">На стадии </w:t>
      </w:r>
      <w:r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Pr="0038443F">
        <w:rPr>
          <w:rFonts w:ascii="Times New Roman" w:hAnsi="Times New Roman" w:cs="Times New Roman"/>
          <w:sz w:val="26"/>
          <w:szCs w:val="26"/>
        </w:rPr>
        <w:t xml:space="preserve">текст законопроекта согласовывался с Государственно-правовым управлением Президента Российской Федерации, Министерством промышленности и торговли России, Минэкономразвития России, Минфином </w:t>
      </w:r>
      <w:r w:rsidRPr="0038443F">
        <w:rPr>
          <w:rFonts w:ascii="Times New Roman" w:hAnsi="Times New Roman" w:cs="Times New Roman"/>
          <w:sz w:val="26"/>
          <w:szCs w:val="26"/>
        </w:rPr>
        <w:lastRenderedPageBreak/>
        <w:t xml:space="preserve">России, Минюстом России.  Указанные органы государственной власти, а также Комитет Государственной Думы по экономической политике, инновационному развитию и предпринимательству, председатель которого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38443F">
        <w:rPr>
          <w:rFonts w:ascii="Times New Roman" w:hAnsi="Times New Roman" w:cs="Times New Roman"/>
          <w:sz w:val="26"/>
          <w:szCs w:val="26"/>
        </w:rPr>
        <w:t xml:space="preserve">А.Г. Аксаков выступил соавтором проекта, поддержали его. 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443F">
        <w:rPr>
          <w:rFonts w:ascii="Times New Roman" w:hAnsi="Times New Roman" w:cs="Times New Roman"/>
          <w:sz w:val="26"/>
          <w:szCs w:val="26"/>
        </w:rPr>
        <w:t xml:space="preserve">Во время прохождения </w:t>
      </w:r>
      <w:r>
        <w:rPr>
          <w:rFonts w:ascii="Times New Roman" w:hAnsi="Times New Roman" w:cs="Times New Roman"/>
          <w:sz w:val="26"/>
          <w:szCs w:val="26"/>
        </w:rPr>
        <w:t xml:space="preserve">законопроекта </w:t>
      </w:r>
      <w:r w:rsidRPr="0038443F">
        <w:rPr>
          <w:rFonts w:ascii="Times New Roman" w:hAnsi="Times New Roman" w:cs="Times New Roman"/>
          <w:sz w:val="26"/>
          <w:szCs w:val="26"/>
        </w:rPr>
        <w:t>в Государственной Думе на основании замечаний и предложений органов государственной власти и субъекто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8443F">
        <w:rPr>
          <w:rFonts w:ascii="Times New Roman" w:hAnsi="Times New Roman" w:cs="Times New Roman"/>
          <w:sz w:val="26"/>
          <w:szCs w:val="26"/>
        </w:rPr>
        <w:t xml:space="preserve"> права законодательной инициативы подготовлены поправки ко второму чтению, которые поддержаны ГПУ Президента РФ и Правительством РФ. 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1EA9">
        <w:rPr>
          <w:rFonts w:ascii="Times New Roman" w:hAnsi="Times New Roman" w:cs="Times New Roman"/>
          <w:sz w:val="26"/>
          <w:szCs w:val="26"/>
        </w:rPr>
        <w:t xml:space="preserve">25 декабря Закон одобрен Советом Федерации и </w:t>
      </w:r>
      <w:r>
        <w:rPr>
          <w:rFonts w:ascii="Times New Roman" w:hAnsi="Times New Roman" w:cs="Times New Roman"/>
          <w:sz w:val="26"/>
          <w:szCs w:val="26"/>
        </w:rPr>
        <w:t>30 декабря подписан Президентом РФ (ФЗ № 451). Закон вступил в силу с 30 декабря 2015 года.</w:t>
      </w:r>
    </w:p>
    <w:p w:rsidR="001837C1" w:rsidRPr="00CF1EA9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i/>
          <w:sz w:val="26"/>
          <w:szCs w:val="26"/>
        </w:rPr>
        <w:t>Текст Закона прилагается в виде Приложения № 1.</w:t>
      </w:r>
    </w:p>
    <w:p w:rsidR="001837C1" w:rsidRDefault="001837C1" w:rsidP="00183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2D">
        <w:rPr>
          <w:rFonts w:ascii="Times New Roman" w:hAnsi="Times New Roman" w:cs="Times New Roman"/>
          <w:b/>
          <w:sz w:val="26"/>
          <w:szCs w:val="26"/>
        </w:rPr>
        <w:t>Реформа третейского законодательства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 xml:space="preserve">15 декабря 2015 года приняты Федеральный закон «Об арбитраже (третейском разбирательстве) в Российской Федерации» и «Закон-спутник»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7692D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 и признании утратившим силу пункта 3 части 1 статьи 6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7692D">
        <w:rPr>
          <w:rFonts w:ascii="Times New Roman" w:hAnsi="Times New Roman" w:cs="Times New Roman"/>
          <w:sz w:val="26"/>
          <w:szCs w:val="26"/>
        </w:rPr>
        <w:t xml:space="preserve">«О саморегулируемых организациях» в связи с принятием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7692D">
        <w:rPr>
          <w:rFonts w:ascii="Times New Roman" w:hAnsi="Times New Roman" w:cs="Times New Roman"/>
          <w:sz w:val="26"/>
          <w:szCs w:val="26"/>
        </w:rPr>
        <w:t>«Об арбитраже (третейском разбирательстве) в Российской Федерации».</w:t>
      </w:r>
      <w:proofErr w:type="gramEnd"/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Целью данных Законов является кардинальное совершенствование законодательства о третейском судопроизводстве. Новое законодательство позволит улучшить условия разрешения внутренних и международных экономических споров с участием бизнеса. Законы позволят сделать систему третейских судов в целом более прозрачной и беспристрастной по отношению к предпринимательскому сообществу.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Работа по подготовке законопроектов велась около трех лет во исполнение поручения Президента Российской Федерации. Палата в качестве соисполнителя приняла в ней самое активное участие.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Палатой подготовлено заключение и поправки ко второму чтению по законопроекту «Об арбитраже (третейском разбирательстве) в Российской Федерации» и соответствующему «закону-спутнику». Представители ТПП России вошли в состав Рабочей группы профильного Комитета Госдумы по гражданскому, уголовному, арбитражному и процессуальному законодательству и приняли участие в 9 заседаниях Рабочей группы, на которых было обсуждено более 300 поправок к законопроектам.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Поправки Палаты по реформированию законодательства в этой сфере, в том числе по сохранению действующего правового статуса МКАС и МАК при ТПП России, учтены в Законах.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Закон содержит нормы о порядке образования постоянно действующих арбитражных учреждений, назначении и ответственности арбитров, и т.д. Его принятие также будет способствовать противодействию функционирования недобросовестных третейских судов при частных компаниях.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Законы одобрены Советом Федерации 25 декабря и </w:t>
      </w:r>
      <w:r>
        <w:rPr>
          <w:rFonts w:ascii="Times New Roman" w:hAnsi="Times New Roman" w:cs="Times New Roman"/>
          <w:sz w:val="26"/>
          <w:szCs w:val="26"/>
        </w:rPr>
        <w:t>подписаны Президентом Российской Федерации 29 декабря 2015 года (№ 382-ФЗ и 409-ФЗ). Законы вступают в силу с 1 сентября 2016 года.</w:t>
      </w:r>
    </w:p>
    <w:p w:rsidR="001837C1" w:rsidRDefault="001837C1" w:rsidP="001837C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837C1" w:rsidRPr="00FF6771" w:rsidRDefault="001837C1" w:rsidP="001837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7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Минэкономразвития РФ разработан </w:t>
      </w:r>
      <w:bookmarkStart w:id="0" w:name="_GoBack"/>
      <w:r w:rsidRPr="00FF6771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F6771">
        <w:rPr>
          <w:rFonts w:ascii="Times New Roman" w:hAnsi="Times New Roman" w:cs="Times New Roman"/>
          <w:b/>
          <w:sz w:val="26"/>
          <w:szCs w:val="26"/>
        </w:rPr>
        <w:t>Дорожной карты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FF67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67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 совершенствованию контрольно-надзорной деятельности в период 2016-2017 годов</w:t>
      </w:r>
    </w:p>
    <w:bookmarkEnd w:id="0"/>
    <w:p w:rsidR="001837C1" w:rsidRPr="00FF6771" w:rsidRDefault="001837C1" w:rsidP="001837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22 декабря на заседании подкомиссии по совершенствованию контрольных и разрешительных функций федеральных органов исполнительной власти при Правительственной комиссии по проведению административной реформы состоялось первое обсуждение проекта плана мероприятий («дорожной карты») по совершенствованию контрольно-надзорной деятельности в период 2016-2017 годов</w:t>
      </w:r>
      <w:r w:rsidRPr="00FF6771">
        <w:rPr>
          <w:rFonts w:ascii="Times New Roman" w:hAnsi="Times New Roman" w:cs="Times New Roman"/>
          <w:sz w:val="26"/>
          <w:szCs w:val="26"/>
        </w:rPr>
        <w:t>, п</w:t>
      </w: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одготовленного Минэкономразвития России.</w:t>
      </w:r>
    </w:p>
    <w:p w:rsidR="001837C1" w:rsidRPr="00FF6771" w:rsidRDefault="001837C1" w:rsidP="001837C1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  <w:shd w:val="clear" w:color="auto" w:fill="FFFFFF"/>
        </w:rPr>
      </w:pPr>
      <w:r w:rsidRPr="00FF6771">
        <w:rPr>
          <w:sz w:val="26"/>
          <w:szCs w:val="26"/>
          <w:shd w:val="clear" w:color="auto" w:fill="FFFFFF"/>
        </w:rPr>
        <w:t xml:space="preserve">«Дорожная карта» разработана, в том числе в целях </w:t>
      </w:r>
      <w:r w:rsidRPr="00FF6771">
        <w:rPr>
          <w:sz w:val="26"/>
          <w:szCs w:val="26"/>
        </w:rPr>
        <w:t>снижения издержек юридических лиц, индивидуальных предпринимателей при осуществлении государственного контроля (надзора), муниципального контроля.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«Дорожная карта» включает в себя 65 мероприятий по 7 направлениям: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систематизация и актуализация обязательных требований,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внедрение системы управления рисками при организации проверок,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совершенствование форм осуществления контрольно-надзорной деятельности,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разработка и внедрение системы оценки результативности и эффективности контрольно-надзорных органов,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оптимизация контрольно-надзорных функций,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подготовка и переподготовка инспекторского состава,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информационных систем и совершенствование межведомственного взаимодействия органов контроля и надзора.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67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итогам обсуждения проекта «дорожной карты» было принято решение доработать документ с учётом предложений экспертов, представителей органов власти и бизнеса и провести дополнительное обсуждение на стратегических сессиях до 20 января с тем, чтобы до 15 февраля 2016 года он был утверждён Правительственной комиссией по административной реформе.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>ТПП РФ в целом поддержала общий подход к структуре и содержанию</w:t>
      </w:r>
      <w:r>
        <w:rPr>
          <w:rFonts w:ascii="Times New Roman" w:hAnsi="Times New Roman" w:cs="Times New Roman"/>
          <w:sz w:val="26"/>
          <w:szCs w:val="26"/>
        </w:rPr>
        <w:t xml:space="preserve"> «дорожной карты». Вместе с тем Палатой</w:t>
      </w:r>
      <w:r w:rsidRPr="00FF6771">
        <w:rPr>
          <w:rFonts w:ascii="Times New Roman" w:hAnsi="Times New Roman" w:cs="Times New Roman"/>
          <w:sz w:val="26"/>
          <w:szCs w:val="26"/>
        </w:rPr>
        <w:t xml:space="preserve"> были подготовлены предложения и замечания к составу мероприятий «дорожной карты».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>В частности, ТПП РФ было предложено предусмотреть участие представителей бизнеса в реализации мероприятий, затрагивающих интересы предпринимательского сообщества.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>Кроме того, ТПП РФ указала на необходимость включения в «дорожную карту» таких важных направлений, как: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 xml:space="preserve">исключение дублирующих функции контрольно-надзорных органов; </w:t>
      </w:r>
    </w:p>
    <w:p w:rsidR="001837C1" w:rsidRPr="00FF677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 xml:space="preserve">отказ от «презумпции вины» подконтрольного субъекта, а также практики максимальных наказаний в пользу превентивных мер, в том числе через: профилактические мероприятия и предупреждения; институт добровольного декларирования соответствия; совершенствование административной ответственности с учетом </w:t>
      </w:r>
      <w:proofErr w:type="gramStart"/>
      <w:r w:rsidRPr="00FF6771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FF6771">
        <w:rPr>
          <w:rFonts w:ascii="Times New Roman" w:hAnsi="Times New Roman" w:cs="Times New Roman"/>
          <w:sz w:val="26"/>
          <w:szCs w:val="26"/>
        </w:rPr>
        <w:t xml:space="preserve"> подхода;</w:t>
      </w:r>
    </w:p>
    <w:p w:rsidR="001837C1" w:rsidRPr="00FF6771" w:rsidRDefault="001837C1" w:rsidP="001837C1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t>оптимизация механизмов досудебного и внесудебного порядка обжалования результатов проверок;</w:t>
      </w:r>
    </w:p>
    <w:p w:rsidR="001837C1" w:rsidRPr="00FF6771" w:rsidRDefault="001837C1" w:rsidP="001837C1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71">
        <w:rPr>
          <w:rFonts w:ascii="Times New Roman" w:hAnsi="Times New Roman" w:cs="Times New Roman"/>
          <w:sz w:val="26"/>
          <w:szCs w:val="26"/>
        </w:rPr>
        <w:t xml:space="preserve">повышение эффективности применения </w:t>
      </w:r>
      <w:r w:rsidRPr="00FF67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реестра проверок;</w:t>
      </w:r>
    </w:p>
    <w:p w:rsidR="001837C1" w:rsidRPr="00FF6771" w:rsidRDefault="001837C1" w:rsidP="001837C1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6771">
        <w:rPr>
          <w:rFonts w:ascii="Times New Roman" w:hAnsi="Times New Roman" w:cs="Times New Roman"/>
          <w:sz w:val="26"/>
          <w:szCs w:val="26"/>
        </w:rPr>
        <w:lastRenderedPageBreak/>
        <w:t>обеспечение гарантий защиты информации ограниченного доступа, в том числе персональных данных и коммерческой тайны.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6771">
        <w:rPr>
          <w:rFonts w:ascii="Times New Roman" w:hAnsi="Times New Roman" w:cs="Times New Roman"/>
          <w:sz w:val="26"/>
          <w:szCs w:val="26"/>
        </w:rPr>
        <w:t>Указанные предложения были направлены в адрес Минэкономразвития России.</w:t>
      </w:r>
    </w:p>
    <w:p w:rsidR="001837C1" w:rsidRDefault="001837C1" w:rsidP="001837C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2D">
        <w:rPr>
          <w:rFonts w:ascii="Times New Roman" w:hAnsi="Times New Roman" w:cs="Times New Roman"/>
          <w:b/>
          <w:sz w:val="26"/>
          <w:szCs w:val="26"/>
        </w:rPr>
        <w:t>ТПП России продолжит мониторинг правоприменения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17 ноября </w:t>
      </w:r>
      <w:proofErr w:type="spellStart"/>
      <w:r w:rsidRPr="00F7692D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Pr="00F7692D">
        <w:rPr>
          <w:rFonts w:ascii="Times New Roman" w:hAnsi="Times New Roman" w:cs="Times New Roman"/>
          <w:sz w:val="26"/>
          <w:szCs w:val="26"/>
        </w:rPr>
        <w:t>. по поручению Вице-президента ТПП России Вадима Чубарова директор Юридического департамента Сергей Васильев провел заседание рабочей группы по организации в ТПП России мониторинга правоприменения.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Рабочей группой обсужден проект Плана ТПП России реализации в 2016 году мероприятий по мониторингу правоприменения, подготовленного по предложениям департаментов и членских организаций Палаты и корреспондирующего с правительственный планом мониторинга правоприменения в Российской Федерации на 2016 год.</w:t>
      </w:r>
      <w:proofErr w:type="gramEnd"/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Предложено включить в План мониторинга правоприменения на 2016 год следующие позиции: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- здравоохранение;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- оказание государственной поддержки субъектам малого и среднего предпринимательства;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- рынок сельскохозяйственной продукции, сырья и продовольствия;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- перевозка пассажиров.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Также члены Рабочей группы обсудили предварительные итоги выполнения Плана мониторинга правоприменения Палаты за 2015 год.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Утвержденный Президентом ТПП России </w:t>
      </w:r>
      <w:proofErr w:type="spellStart"/>
      <w:r w:rsidRPr="00F7692D">
        <w:rPr>
          <w:rFonts w:ascii="Times New Roman" w:hAnsi="Times New Roman" w:cs="Times New Roman"/>
          <w:sz w:val="26"/>
          <w:szCs w:val="26"/>
        </w:rPr>
        <w:t>С.Н.Катыриным</w:t>
      </w:r>
      <w:proofErr w:type="spellEnd"/>
      <w:r w:rsidRPr="00F7692D">
        <w:rPr>
          <w:rFonts w:ascii="Times New Roman" w:hAnsi="Times New Roman" w:cs="Times New Roman"/>
          <w:sz w:val="26"/>
          <w:szCs w:val="26"/>
        </w:rPr>
        <w:t xml:space="preserve"> План на 2016 год разослан по системе ТПП и размещен на сайте Палаты.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Мониторинг является одним из важных направлений деятельности Палаты (во исполнение Указа Президента России от 20 мая 2011 года № 657). Между ТПП России и Минюстом России в 2012 году заключено Соглашение о взаимодействии в данной сфере.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Материалы с результатами мониторинга поступают в ТПП РФ от региональных торгово-промышленных палат, отраслевых объединений предпринимателей и комитетов Палаты.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В рамках Соглашения с Минюстом России за период 2012-2015 годов ТПП РФ направила в Министерство 20 пакетов обобщенных материалов в различных сферах: торговая деятельность, налоги, специальная оценка условий труда, государственное регулирование рынка недвижимости, регистрация юридических лиц и ИП, государственные закупки, регулирование цен (тарифов), промышленная безопасность, градостроительная деятельность, таможенное законодательство, сельское хозяйство, природопользование и экология и другие.</w:t>
      </w:r>
      <w:proofErr w:type="gramEnd"/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Материалы по проблемам налогообложения, регистрации юридических лиц и индивидуальных предпринимателей были включены в доклады Правительства РФ Президенту Российской Федерации.</w:t>
      </w:r>
    </w:p>
    <w:p w:rsidR="001837C1" w:rsidRPr="004D00A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Информационные ресурсы Палаты по мониторингу правоприменения доступны на ее официальном сайте в разделе «Взаимодействие бизнеса и власти\Законотворческая деятельность\Мониторинг правоприменения».</w:t>
      </w:r>
    </w:p>
    <w:p w:rsidR="001837C1" w:rsidRDefault="001837C1" w:rsidP="001837C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37C1" w:rsidRDefault="001837C1" w:rsidP="001837C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37C1" w:rsidRDefault="001837C1" w:rsidP="001837C1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37C1" w:rsidRPr="00411DE1" w:rsidRDefault="001837C1" w:rsidP="001837C1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DE1">
        <w:rPr>
          <w:rFonts w:ascii="Times New Roman" w:hAnsi="Times New Roman" w:cs="Times New Roman"/>
          <w:b/>
          <w:sz w:val="26"/>
          <w:szCs w:val="26"/>
        </w:rPr>
        <w:lastRenderedPageBreak/>
        <w:t>А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411DE1">
        <w:rPr>
          <w:rFonts w:ascii="Times New Roman" w:hAnsi="Times New Roman" w:cs="Times New Roman"/>
          <w:b/>
          <w:sz w:val="26"/>
          <w:szCs w:val="26"/>
        </w:rPr>
        <w:t xml:space="preserve">министративный кодекс. </w:t>
      </w:r>
    </w:p>
    <w:p w:rsidR="001837C1" w:rsidRPr="00411DE1" w:rsidRDefault="001837C1" w:rsidP="001837C1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DE1">
        <w:rPr>
          <w:rFonts w:ascii="Times New Roman" w:hAnsi="Times New Roman" w:cs="Times New Roman"/>
          <w:b/>
          <w:sz w:val="26"/>
          <w:szCs w:val="26"/>
        </w:rPr>
        <w:t>Что ждет бизнес после его принятия?</w:t>
      </w:r>
    </w:p>
    <w:p w:rsidR="001837C1" w:rsidRPr="00411DE1" w:rsidRDefault="001837C1" w:rsidP="001837C1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837C1" w:rsidRPr="00411DE1" w:rsidRDefault="001837C1" w:rsidP="0018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DE1">
        <w:rPr>
          <w:rFonts w:ascii="Times New Roman" w:hAnsi="Times New Roman" w:cs="Times New Roman"/>
          <w:sz w:val="26"/>
          <w:szCs w:val="26"/>
        </w:rPr>
        <w:t xml:space="preserve">18 декабря 2015 года в Государственную Думу депутатами В.Н. </w:t>
      </w:r>
      <w:proofErr w:type="spellStart"/>
      <w:r w:rsidRPr="00411DE1">
        <w:rPr>
          <w:rFonts w:ascii="Times New Roman" w:hAnsi="Times New Roman" w:cs="Times New Roman"/>
          <w:sz w:val="26"/>
          <w:szCs w:val="26"/>
        </w:rPr>
        <w:t>Плигиным</w:t>
      </w:r>
      <w:proofErr w:type="spellEnd"/>
      <w:r w:rsidRPr="00411DE1">
        <w:rPr>
          <w:rFonts w:ascii="Times New Roman" w:hAnsi="Times New Roman" w:cs="Times New Roman"/>
          <w:sz w:val="26"/>
          <w:szCs w:val="26"/>
        </w:rPr>
        <w:t xml:space="preserve">,                Д.Ф. </w:t>
      </w:r>
      <w:proofErr w:type="spellStart"/>
      <w:r w:rsidRPr="00411DE1">
        <w:rPr>
          <w:rFonts w:ascii="Times New Roman" w:hAnsi="Times New Roman" w:cs="Times New Roman"/>
          <w:sz w:val="26"/>
          <w:szCs w:val="26"/>
        </w:rPr>
        <w:t>Вяткиным</w:t>
      </w:r>
      <w:proofErr w:type="spellEnd"/>
      <w:r w:rsidRPr="00411DE1">
        <w:rPr>
          <w:rFonts w:ascii="Times New Roman" w:hAnsi="Times New Roman" w:cs="Times New Roman"/>
          <w:sz w:val="26"/>
          <w:szCs w:val="26"/>
        </w:rPr>
        <w:t xml:space="preserve"> внесен проект федерального закона № 957581-6 «Кодекс Российской Федерации об административных правонарушениях» (новая редакция).</w:t>
      </w:r>
    </w:p>
    <w:p w:rsidR="001837C1" w:rsidRPr="00A834EC" w:rsidRDefault="001837C1" w:rsidP="001837C1">
      <w:pPr>
        <w:tabs>
          <w:tab w:val="left" w:pos="567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DE1">
        <w:rPr>
          <w:rFonts w:ascii="Times New Roman" w:hAnsi="Times New Roman" w:cs="Times New Roman"/>
          <w:sz w:val="26"/>
          <w:szCs w:val="26"/>
        </w:rPr>
        <w:t xml:space="preserve">Законопроектом существенно расширяется перечень административных наказаний,  в </w:t>
      </w:r>
      <w:r w:rsidRPr="00A834EC">
        <w:rPr>
          <w:rFonts w:ascii="Times New Roman" w:hAnsi="Times New Roman" w:cs="Times New Roman"/>
          <w:sz w:val="26"/>
          <w:szCs w:val="26"/>
        </w:rPr>
        <w:t>частности, предусматривается в качестве новых видов административного наказания ликвидация юридического лица, прекращение деятельности в качестве индивидуального предпринимателя (ИП), исправительные работы и лишение специального разрешения (лицензии).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>Устанавливается упрощенный порядок взыскания административных штрафов на небольшие суммы (до 10 тысяч рублей) путем удержания по месту работы, выделяются новые категории административных нарушений (грубые, значительные, менее значительные).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 xml:space="preserve"> Выделяются в самостоятельные главы административные правонарушения, посягающие на права потребителей, конкуренцию, административные правонарушения в области торговли и т.д.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>В целом внесение и  принятие данного проекта несвоевременно ввиду отсутствия глубокой и детальной проработки отдельных его положений, установления несоразмерных (с учетом нынешней экономической обстановки) штрафов, общего ужесточения санкций для бизнеса и увеличения срока давности по отдельным составам административных правонарушений. Можно сказать о  непосредственном сближении законопроекта с Уголовным кодексом Российской Федерации.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>Законопроектом, в частности, устанавливается, что срок давности привлечения  к административной ответственности составляет один год (сейчас – 2 месяца), по делам  о нарушениях законодательства Российской Федерации о налогах и сборах - три года  (сейчас – 2 месяца), антимонопольного законодательства Российской Федерации - четыре года  (сейчас – 2 месяца).</w:t>
      </w:r>
    </w:p>
    <w:p w:rsidR="001837C1" w:rsidRPr="00A834EC" w:rsidRDefault="001837C1" w:rsidP="001837C1">
      <w:pPr>
        <w:pStyle w:val="ConsPlusNormal"/>
        <w:tabs>
          <w:tab w:val="left" w:pos="2552"/>
        </w:tabs>
        <w:ind w:firstLine="709"/>
        <w:jc w:val="both"/>
        <w:outlineLvl w:val="0"/>
        <w:rPr>
          <w:sz w:val="26"/>
          <w:szCs w:val="26"/>
        </w:rPr>
      </w:pPr>
      <w:r w:rsidRPr="00A834EC">
        <w:rPr>
          <w:sz w:val="26"/>
          <w:szCs w:val="26"/>
        </w:rPr>
        <w:t>Для примера, статьей 78 Уголовного кодекса Российской Федерации установлено, что случаи освобождения от уголовной ответственности в связи с истечением сроков давности составляют:</w:t>
      </w:r>
    </w:p>
    <w:p w:rsidR="001837C1" w:rsidRPr="00A834EC" w:rsidRDefault="001837C1" w:rsidP="001837C1">
      <w:pPr>
        <w:pStyle w:val="ConsPlusNormal"/>
        <w:tabs>
          <w:tab w:val="left" w:pos="2552"/>
        </w:tabs>
        <w:ind w:firstLine="709"/>
        <w:jc w:val="both"/>
        <w:rPr>
          <w:sz w:val="26"/>
          <w:szCs w:val="26"/>
        </w:rPr>
      </w:pPr>
      <w:r w:rsidRPr="00A834EC">
        <w:rPr>
          <w:sz w:val="26"/>
          <w:szCs w:val="26"/>
        </w:rPr>
        <w:t>- два года после совершения преступления небольшой тяжести;</w:t>
      </w:r>
    </w:p>
    <w:p w:rsidR="001837C1" w:rsidRPr="00A834EC" w:rsidRDefault="001837C1" w:rsidP="001837C1">
      <w:pPr>
        <w:pStyle w:val="ConsPlusNormal"/>
        <w:tabs>
          <w:tab w:val="left" w:pos="2552"/>
        </w:tabs>
        <w:ind w:firstLine="709"/>
        <w:jc w:val="both"/>
        <w:rPr>
          <w:sz w:val="26"/>
          <w:szCs w:val="26"/>
        </w:rPr>
      </w:pPr>
      <w:r w:rsidRPr="00A834EC">
        <w:rPr>
          <w:sz w:val="26"/>
          <w:szCs w:val="26"/>
        </w:rPr>
        <w:t>- шесть лет после совершения преступления средней тяжести.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>Законопроектом также вводится новый размер административных штрафов (пункт 2 статьи 4.7 законопроекта), который составляет (в части юридических лиц и ИП):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 xml:space="preserve">за грубые категории нарушений (в </w:t>
      </w:r>
      <w:proofErr w:type="gramStart"/>
      <w:r w:rsidRPr="00A834EC">
        <w:rPr>
          <w:rFonts w:ascii="Times New Roman" w:hAnsi="Times New Roman" w:cs="Times New Roman"/>
          <w:sz w:val="26"/>
          <w:szCs w:val="26"/>
        </w:rPr>
        <w:t>действующем</w:t>
      </w:r>
      <w:proofErr w:type="gramEnd"/>
      <w:r w:rsidRPr="00A834EC">
        <w:rPr>
          <w:rFonts w:ascii="Times New Roman" w:hAnsi="Times New Roman" w:cs="Times New Roman"/>
          <w:sz w:val="26"/>
          <w:szCs w:val="26"/>
        </w:rPr>
        <w:t xml:space="preserve"> КоАП категория отсутствует):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ИП от ста тысяч до четырехсот тысяч рублей;</w:t>
      </w:r>
    </w:p>
    <w:p w:rsidR="001837C1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юридических лиц - от пяти миллионов до шестидесяти миллионов рублей.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hAnsi="Times New Roman" w:cs="Times New Roman"/>
          <w:sz w:val="26"/>
          <w:szCs w:val="26"/>
        </w:rPr>
        <w:t xml:space="preserve">за значительные категории нарушений (в </w:t>
      </w:r>
      <w:proofErr w:type="gramStart"/>
      <w:r w:rsidRPr="00A834EC">
        <w:rPr>
          <w:rFonts w:ascii="Times New Roman" w:hAnsi="Times New Roman" w:cs="Times New Roman"/>
          <w:sz w:val="26"/>
          <w:szCs w:val="26"/>
        </w:rPr>
        <w:t>действующем</w:t>
      </w:r>
      <w:proofErr w:type="gramEnd"/>
      <w:r w:rsidRPr="00A834EC">
        <w:rPr>
          <w:rFonts w:ascii="Times New Roman" w:hAnsi="Times New Roman" w:cs="Times New Roman"/>
          <w:sz w:val="26"/>
          <w:szCs w:val="26"/>
        </w:rPr>
        <w:t xml:space="preserve"> КоАП категория отсутствует):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ИП от двадцати пяти тысяч до ста тысяч рублей;</w:t>
      </w:r>
    </w:p>
    <w:p w:rsidR="001837C1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юридических лиц - от одного миллиона до пяти миллионов рублей.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4EC">
        <w:rPr>
          <w:rFonts w:ascii="Times New Roman" w:eastAsia="Calibri" w:hAnsi="Times New Roman" w:cs="Times New Roman"/>
          <w:sz w:val="26"/>
          <w:szCs w:val="26"/>
        </w:rPr>
        <w:t xml:space="preserve">за менее </w:t>
      </w:r>
      <w:proofErr w:type="gramStart"/>
      <w:r w:rsidRPr="00A834EC">
        <w:rPr>
          <w:rFonts w:ascii="Times New Roman" w:eastAsia="Calibri" w:hAnsi="Times New Roman" w:cs="Times New Roman"/>
          <w:sz w:val="26"/>
          <w:szCs w:val="26"/>
        </w:rPr>
        <w:t>значительные</w:t>
      </w:r>
      <w:proofErr w:type="gramEnd"/>
      <w:r w:rsidRPr="00A834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34EC">
        <w:rPr>
          <w:rFonts w:ascii="Times New Roman" w:hAnsi="Times New Roman" w:cs="Times New Roman"/>
          <w:sz w:val="26"/>
          <w:szCs w:val="26"/>
        </w:rPr>
        <w:t>(в действующем КоАП категория отсутствует):</w:t>
      </w:r>
    </w:p>
    <w:p w:rsidR="001837C1" w:rsidRPr="00A834EC" w:rsidRDefault="001837C1" w:rsidP="001837C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ИП от двух тысяч пятисот до двадцати пяти тысяч рублей;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4EC">
        <w:rPr>
          <w:rFonts w:ascii="Times New Roman" w:hAnsi="Times New Roman" w:cs="Times New Roman"/>
          <w:sz w:val="26"/>
          <w:szCs w:val="26"/>
        </w:rPr>
        <w:t>для юридических лиц от десяти тысяч до одного миллиона рублей.</w:t>
      </w:r>
    </w:p>
    <w:p w:rsidR="001837C1" w:rsidRPr="00A834EC" w:rsidRDefault="001837C1" w:rsidP="001837C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4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 разослан по системе ТПП РФ для замечаний и предложений.</w:t>
      </w:r>
    </w:p>
    <w:p w:rsidR="001837C1" w:rsidRDefault="001837C1" w:rsidP="001837C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2D">
        <w:rPr>
          <w:rFonts w:ascii="Times New Roman" w:hAnsi="Times New Roman" w:cs="Times New Roman"/>
          <w:b/>
          <w:sz w:val="26"/>
          <w:szCs w:val="26"/>
        </w:rPr>
        <w:t>Дальний Восток - центр притяжения инвестиций и роста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26 ноября 2015 года прошел круглый стол, организованный Комитетом Совета Федерации ФС РФ по федеративному устройству, региональной политике, местному самоуправлению и делам Севера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7692D">
        <w:rPr>
          <w:rFonts w:ascii="Times New Roman" w:hAnsi="Times New Roman" w:cs="Times New Roman"/>
          <w:sz w:val="26"/>
          <w:szCs w:val="26"/>
        </w:rPr>
        <w:t xml:space="preserve"> по вопросу: «Об эффективности правовых, организационных и финансовых механизмов, используемых в целях обеспечения ускоренного и сбалансированного развития Дальнего Востока и Байкальского региона».</w:t>
      </w:r>
      <w:r>
        <w:rPr>
          <w:rFonts w:ascii="Times New Roman" w:hAnsi="Times New Roman" w:cs="Times New Roman"/>
          <w:sz w:val="26"/>
          <w:szCs w:val="26"/>
        </w:rPr>
        <w:t xml:space="preserve"> Участие в мероприятии приняли представители ТПП РФ. 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В рамках обсуждения была отмечена важность развития Дальневосточного и Байкальского регионов, как источников экономического развития и приоритетных направлений для финансовой поддержки в целях развития отраслей промышленности, создания необходимой инфраструктуры для привлечения инвестиций, а также улучшения демографической ситуации.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>кже С</w:t>
      </w:r>
      <w:r w:rsidRPr="00F7692D">
        <w:rPr>
          <w:rFonts w:ascii="Times New Roman" w:hAnsi="Times New Roman" w:cs="Times New Roman"/>
          <w:sz w:val="26"/>
          <w:szCs w:val="26"/>
        </w:rPr>
        <w:t>татс-секретарем-заместителем Министра Российской Федерации по развитию Дальнего Востока К.И. Степановым была отмечена необходимость принятия проекта федерального закона «О свободном порте Дальнего Востока» и законопроектов-спутников, как основы для расширения поддержки потенциальных инвесторов. Данные законопроекты были рассмотрены ТПП РФ и в целом поддержаны (замечания имеют технический характер).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По результатам «круглого стола» был принят проект рекомендаций, предусматривающих ускоренную подготовку документов в рамках реализации Федерального закона «О государственном стратегическом планировании», рассмотрение целесообразности разработки федерального закона «О приграничных территориях Российской Федерации», разработку мер по совершенствованию установленной в Федеральном законе «О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</w:t>
      </w:r>
      <w:proofErr w:type="gramEnd"/>
      <w:r w:rsidRPr="00F7692D">
        <w:rPr>
          <w:rFonts w:ascii="Times New Roman" w:hAnsi="Times New Roman" w:cs="Times New Roman"/>
          <w:sz w:val="26"/>
          <w:szCs w:val="26"/>
        </w:rPr>
        <w:t xml:space="preserve"> Дальневосточного федерального округа и отдельных субъектов Российской Федерации» системы налоговых преференций для участников региональных инвестиционных проектов.  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Логичным продолжением</w:t>
      </w:r>
      <w:proofErr w:type="gramEnd"/>
      <w:r w:rsidRPr="00F7692D">
        <w:rPr>
          <w:rFonts w:ascii="Times New Roman" w:hAnsi="Times New Roman" w:cs="Times New Roman"/>
          <w:sz w:val="26"/>
          <w:szCs w:val="26"/>
        </w:rPr>
        <w:t xml:space="preserve"> обсуждения </w:t>
      </w:r>
      <w:r>
        <w:rPr>
          <w:rFonts w:ascii="Times New Roman" w:hAnsi="Times New Roman" w:cs="Times New Roman"/>
          <w:sz w:val="26"/>
          <w:szCs w:val="26"/>
        </w:rPr>
        <w:t xml:space="preserve">темы </w:t>
      </w:r>
      <w:r w:rsidRPr="00F7692D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Дальневосточного региона стало</w:t>
      </w:r>
      <w:r w:rsidRPr="00F7692D">
        <w:rPr>
          <w:rFonts w:ascii="Times New Roman" w:hAnsi="Times New Roman" w:cs="Times New Roman"/>
          <w:sz w:val="26"/>
          <w:szCs w:val="26"/>
        </w:rPr>
        <w:t xml:space="preserve"> состоявшееся 30 ноября 2015 года «нулевое чтение» проекта федерального закона «О свободном порте Да</w:t>
      </w:r>
      <w:r>
        <w:rPr>
          <w:rFonts w:ascii="Times New Roman" w:hAnsi="Times New Roman" w:cs="Times New Roman"/>
          <w:sz w:val="26"/>
          <w:szCs w:val="26"/>
        </w:rPr>
        <w:t>льнего Востока», организованное</w:t>
      </w:r>
      <w:r w:rsidRPr="00F7692D">
        <w:rPr>
          <w:rFonts w:ascii="Times New Roman" w:hAnsi="Times New Roman" w:cs="Times New Roman"/>
          <w:sz w:val="26"/>
          <w:szCs w:val="26"/>
        </w:rPr>
        <w:t xml:space="preserve"> Комиссией по общественному контролю, общественной экспертизе и взаимодействию с общественными советами Общественной палаты Российской Федерации.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В рамках «нулевого чтения» был заслушан доклад первого заместителя Министра </w:t>
      </w:r>
      <w:proofErr w:type="spellStart"/>
      <w:r w:rsidRPr="00F7692D">
        <w:rPr>
          <w:rFonts w:ascii="Times New Roman" w:hAnsi="Times New Roman" w:cs="Times New Roman"/>
          <w:sz w:val="26"/>
          <w:szCs w:val="26"/>
        </w:rPr>
        <w:t>Минвостокразвития</w:t>
      </w:r>
      <w:proofErr w:type="spellEnd"/>
      <w:r w:rsidRPr="00F7692D">
        <w:rPr>
          <w:rFonts w:ascii="Times New Roman" w:hAnsi="Times New Roman" w:cs="Times New Roman"/>
          <w:sz w:val="26"/>
          <w:szCs w:val="26"/>
        </w:rPr>
        <w:t xml:space="preserve"> России А.М. Осипова о ситуации в Дальневосточном и регионе и о необходимости продолжение работы.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Позиция всех участников была едина в части необходимости принятия данного закона (был поддержан ТПП РФ), некоторыми представителями бизнес сообщества было высказано ряд заме</w:t>
      </w:r>
      <w:r>
        <w:rPr>
          <w:rFonts w:ascii="Times New Roman" w:hAnsi="Times New Roman" w:cs="Times New Roman"/>
          <w:sz w:val="26"/>
          <w:szCs w:val="26"/>
        </w:rPr>
        <w:t>чаний, не имеющих принципиального</w:t>
      </w:r>
      <w:r w:rsidRPr="00F7692D">
        <w:rPr>
          <w:rFonts w:ascii="Times New Roman" w:hAnsi="Times New Roman" w:cs="Times New Roman"/>
          <w:sz w:val="26"/>
          <w:szCs w:val="26"/>
        </w:rPr>
        <w:t xml:space="preserve"> характер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692D">
        <w:rPr>
          <w:rFonts w:ascii="Times New Roman" w:hAnsi="Times New Roman" w:cs="Times New Roman"/>
          <w:sz w:val="26"/>
          <w:szCs w:val="26"/>
        </w:rPr>
        <w:t xml:space="preserve">, но нуждающихся в дополнительной проработке, таких как возможность </w:t>
      </w:r>
      <w:r w:rsidRPr="00F7692D">
        <w:rPr>
          <w:rFonts w:ascii="Times New Roman" w:hAnsi="Times New Roman" w:cs="Times New Roman"/>
          <w:sz w:val="26"/>
          <w:szCs w:val="26"/>
        </w:rPr>
        <w:lastRenderedPageBreak/>
        <w:t>расширения налоговых льгот в части налога на доходы физических лиц, уточнение состава наблюдательного совета.</w:t>
      </w:r>
      <w:proofErr w:type="gramEnd"/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2D">
        <w:rPr>
          <w:rFonts w:ascii="Times New Roman" w:hAnsi="Times New Roman" w:cs="Times New Roman"/>
          <w:b/>
          <w:sz w:val="26"/>
          <w:szCs w:val="26"/>
        </w:rPr>
        <w:t>Правительство предлагает повысить ответственность работодателей за нарушения в сфере оплаты труда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Правительством Российской Федерации подготовлен к внесению в Государственную Думу проект федерального закона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труда». 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92D">
        <w:rPr>
          <w:rFonts w:ascii="Times New Roman" w:hAnsi="Times New Roman" w:cs="Times New Roman"/>
          <w:sz w:val="26"/>
          <w:szCs w:val="26"/>
        </w:rPr>
        <w:t>В соответствии с законопроектом в статье 5.27 Кодекса об административных правонарушениях Российской Федерации (КоАП РФ) предлагается выделить в отдельный состав такие правонарушения, как частичная или полная невыплата заработной платы в установленный срок и установить повышенный размер административного штрафа для должностных лиц, совершивших это правонарушение впервые (от 10 до 20 тыс. рублей).</w:t>
      </w:r>
      <w:proofErr w:type="gramEnd"/>
      <w:r w:rsidRPr="00F7692D">
        <w:rPr>
          <w:rFonts w:ascii="Times New Roman" w:hAnsi="Times New Roman" w:cs="Times New Roman"/>
          <w:sz w:val="26"/>
          <w:szCs w:val="26"/>
        </w:rPr>
        <w:t xml:space="preserve"> В той же статье предусмотрена повышенная административная ответственность за повторное совершение данного правонарушения, предусматривающая альтернативные санкции для должностных лиц в виде дисквалификации на срок от года до трех лет.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Кроме того, в статье 236 Трудового кодекса РФ планируется ввести прогрессивную шкалу денежной компенсации в случае, если невыплата заработной платы и других причитающихся работнику выплат продолжается свыше шести месяцев, повысив ее до одной сто пятидесятой действующей в это время ключевой ставки Центрального банка РФ. В настоящее время установлена плоская шкала денежной компенсации в размере одной трехсотой указанной ставки.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 xml:space="preserve">Одновременно проект закона предлагает увеличить </w:t>
      </w:r>
      <w:proofErr w:type="gramStart"/>
      <w:r w:rsidRPr="00F7692D">
        <w:rPr>
          <w:rFonts w:ascii="Times New Roman" w:hAnsi="Times New Roman" w:cs="Times New Roman"/>
          <w:sz w:val="26"/>
          <w:szCs w:val="26"/>
        </w:rPr>
        <w:t>с трех месяцев до одного года срок обращения в суд по искам о невыплате</w:t>
      </w:r>
      <w:proofErr w:type="gramEnd"/>
      <w:r w:rsidRPr="00F7692D">
        <w:rPr>
          <w:rFonts w:ascii="Times New Roman" w:hAnsi="Times New Roman" w:cs="Times New Roman"/>
          <w:sz w:val="26"/>
          <w:szCs w:val="26"/>
        </w:rPr>
        <w:t xml:space="preserve"> заработной платы и предоставить право работнику подавать иск о защите своих трудовых прав по месту его жительства.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92D">
        <w:rPr>
          <w:rFonts w:ascii="Times New Roman" w:hAnsi="Times New Roman" w:cs="Times New Roman"/>
          <w:sz w:val="26"/>
          <w:szCs w:val="26"/>
        </w:rPr>
        <w:t>Проект закона не поддержан стороной работодателей, включая ТПП РФ. Это связано с тем, что с 1 января 2015 года вступили в силу изменения, предусмотренные Федеральным законом от 28.12.2013 г. № 421-ФЗ, которыми заметно повышена ответственность работодателя за нарушения трудового законодательства. Увеличение срока для обращения в суд в связи с невыплатой заработной платы может привести к затягиванию работником срока обращения и росту суммы задолженности, включая пени.</w:t>
      </w:r>
    </w:p>
    <w:p w:rsidR="001837C1" w:rsidRPr="00F7692D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7C1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Вмененку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оставят без изменений</w:t>
      </w:r>
    </w:p>
    <w:p w:rsidR="001837C1" w:rsidRPr="00DB05FB" w:rsidRDefault="001837C1" w:rsidP="00183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5FB">
        <w:rPr>
          <w:rFonts w:ascii="Times New Roman" w:hAnsi="Times New Roman" w:cs="Times New Roman"/>
          <w:sz w:val="26"/>
          <w:szCs w:val="26"/>
        </w:rPr>
        <w:t>20 октября 2015 г. Приказом № 772 «Об установлении коэффициентов-дефляторов на 2016 год» Минэкономразвития России установило коэффициент дефлятор, необходимый в целях применения главы 26.3 «Система налогообложения в виде единого налога на вмененный доход для отдельных видов деятельности» Налогового кодекса Россий</w:t>
      </w:r>
      <w:r>
        <w:rPr>
          <w:rFonts w:ascii="Times New Roman" w:hAnsi="Times New Roman" w:cs="Times New Roman"/>
          <w:sz w:val="26"/>
          <w:szCs w:val="26"/>
        </w:rPr>
        <w:t>ской Федерации в размере 2,083</w:t>
      </w:r>
      <w:r w:rsidRPr="00DB05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Такое решение Минэкономразвития привело бы к увеличению налоговой нагрузки на малый бизнес, поскольку в </w:t>
      </w:r>
      <w:r w:rsidRPr="00AC2F02">
        <w:rPr>
          <w:rFonts w:ascii="Times New Roman" w:hAnsi="Times New Roman" w:cs="Times New Roman"/>
          <w:sz w:val="26"/>
          <w:szCs w:val="26"/>
        </w:rPr>
        <w:t xml:space="preserve">текущем году его значение равно 1,798. </w:t>
      </w:r>
      <w:r>
        <w:rPr>
          <w:rFonts w:ascii="Times New Roman" w:hAnsi="Times New Roman" w:cs="Times New Roman"/>
          <w:sz w:val="26"/>
          <w:szCs w:val="26"/>
        </w:rPr>
        <w:lastRenderedPageBreak/>
        <w:t>Учитывая, что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вмененкой</w:t>
      </w:r>
      <w:proofErr w:type="spellEnd"/>
      <w:r>
        <w:rPr>
          <w:rFonts w:ascii="Times New Roman" w:hAnsi="Times New Roman" w:cs="Times New Roman"/>
          <w:sz w:val="26"/>
          <w:szCs w:val="26"/>
        </w:rPr>
        <w:t>» пользуются более 2 миллионов предпринимателей, как индивидуальных предпринимателей, так и организации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B05FB">
        <w:rPr>
          <w:rFonts w:ascii="Times New Roman" w:hAnsi="Times New Roman" w:cs="Times New Roman"/>
          <w:sz w:val="26"/>
          <w:szCs w:val="26"/>
        </w:rPr>
        <w:t xml:space="preserve"> результате многочисленных обращений предпринимательского сообщества и ТПП России, в частности, Минэкономразвития России Приказом от 18 ноября 2015 г. № 854 внесло изменения в Приказ № 772, и соответствующий размер коэффициента дефлятора был оставлен на уровне 2015 года, т.е. в размере 1,798 р.</w:t>
      </w:r>
    </w:p>
    <w:p w:rsidR="001837C1" w:rsidRPr="00DB1526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Вместе с тем, 1</w:t>
      </w:r>
      <w:r w:rsidRPr="00DB1526">
        <w:rPr>
          <w:rFonts w:ascii="Times New Roman" w:hAnsi="Times New Roman" w:cs="Times New Roman"/>
          <w:sz w:val="26"/>
          <w:szCs w:val="26"/>
        </w:rPr>
        <w:t xml:space="preserve">8 декабря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Думой </w:t>
      </w:r>
      <w:r w:rsidRPr="00DB1526">
        <w:rPr>
          <w:rFonts w:ascii="Times New Roman" w:hAnsi="Times New Roman" w:cs="Times New Roman"/>
          <w:sz w:val="26"/>
          <w:szCs w:val="26"/>
        </w:rPr>
        <w:t>принят Федеральный зако</w:t>
      </w:r>
      <w:r>
        <w:rPr>
          <w:rFonts w:ascii="Times New Roman" w:hAnsi="Times New Roman" w:cs="Times New Roman"/>
          <w:sz w:val="26"/>
          <w:szCs w:val="26"/>
        </w:rPr>
        <w:t>н «Об </w:t>
      </w:r>
      <w:r w:rsidRPr="00DB1526">
        <w:rPr>
          <w:rFonts w:ascii="Times New Roman" w:hAnsi="Times New Roman" w:cs="Times New Roman"/>
          <w:sz w:val="26"/>
          <w:szCs w:val="26"/>
        </w:rPr>
        <w:t>установлении коэффициента-дефлятора на 2016 год и о внесении изменений в Федеральный закон «О внесении изменений в часть вторую Налогового кодекса Российской Федерации» и Федеральный закон «О внесении изменений в главу 21 части второй Налогового кодекса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автором которого является Председатель Комитета Госдумы по бюджету и налогам А.М.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Макаров.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1526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>, в частности,</w:t>
      </w:r>
      <w:r w:rsidRPr="00DB1526">
        <w:rPr>
          <w:rFonts w:ascii="Times New Roman" w:hAnsi="Times New Roman" w:cs="Times New Roman"/>
          <w:sz w:val="26"/>
          <w:szCs w:val="26"/>
        </w:rPr>
        <w:t xml:space="preserve"> предусмотрено установление значения коэффициента-дефлятора по ЕНВД на 2016 год в размере, равном его величине, установленной на 2015 год - 1,798</w:t>
      </w:r>
      <w:r>
        <w:rPr>
          <w:rFonts w:ascii="Times New Roman" w:hAnsi="Times New Roman" w:cs="Times New Roman"/>
          <w:sz w:val="26"/>
          <w:szCs w:val="26"/>
        </w:rPr>
        <w:t>, что, по мнению автора, будет дополнительной гарантией для бизнеса и не позволит изменить его решением Минэкономразвития России.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1526">
        <w:rPr>
          <w:rFonts w:ascii="Times New Roman" w:hAnsi="Times New Roman" w:cs="Times New Roman"/>
          <w:sz w:val="26"/>
          <w:szCs w:val="26"/>
        </w:rPr>
        <w:t>Закон также продлевает до 2017 года применение 0 ставки по НДС за оказание услуг по перевозке пассажиров и багажа воздушным транспортом в Крым и Севастополь, а также в отношении добровольного декларирования счетов и вкладов в иностранных банках. Кроме того, предлагается до 31 декабря 2017 года продлить применение фиксированного курса ЦБ РФ на 1 июля 2014 года для расчета предельной величины процентов по контролируемой задолженности, подлежащих включению в состав расходов по налогу на прибыль, возникшей до 1 октября 2014 года.</w:t>
      </w:r>
    </w:p>
    <w:p w:rsidR="001837C1" w:rsidRDefault="001837C1" w:rsidP="001837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37C1" w:rsidRPr="001103C2" w:rsidRDefault="001837C1" w:rsidP="001837C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3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Коротко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0A6">
        <w:rPr>
          <w:rFonts w:ascii="Times New Roman" w:hAnsi="Times New Roman" w:cs="Times New Roman"/>
          <w:b/>
          <w:sz w:val="26"/>
          <w:szCs w:val="26"/>
        </w:rPr>
        <w:t>28 ноября</w:t>
      </w:r>
      <w:r w:rsidRPr="00F7692D">
        <w:rPr>
          <w:rFonts w:ascii="Times New Roman" w:hAnsi="Times New Roman" w:cs="Times New Roman"/>
          <w:sz w:val="26"/>
          <w:szCs w:val="26"/>
        </w:rPr>
        <w:t xml:space="preserve"> принят Федеральный закон № 342-ФЗ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F7692D">
        <w:rPr>
          <w:rFonts w:ascii="Times New Roman" w:hAnsi="Times New Roman" w:cs="Times New Roman"/>
          <w:sz w:val="26"/>
          <w:szCs w:val="26"/>
        </w:rPr>
        <w:t>«О внесении изменений в статьи 1244 и 1263 части четвертой Гражданского кодекса Российской Федерации» (далее – закон). Законом восстановлено право авторов музыкального произведения, использованного в аудиовизуальном произведении, на получение вознаграждения за его ретрансляцию.</w:t>
      </w:r>
    </w:p>
    <w:p w:rsidR="001837C1" w:rsidRPr="0015773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731">
        <w:rPr>
          <w:rFonts w:ascii="Times New Roman" w:hAnsi="Times New Roman" w:cs="Times New Roman"/>
          <w:b/>
          <w:sz w:val="26"/>
          <w:szCs w:val="26"/>
        </w:rPr>
        <w:t>4 декабря</w:t>
      </w:r>
      <w:r w:rsidRPr="00157731">
        <w:rPr>
          <w:rFonts w:ascii="Times New Roman" w:hAnsi="Times New Roman" w:cs="Times New Roman"/>
          <w:sz w:val="26"/>
          <w:szCs w:val="26"/>
        </w:rPr>
        <w:t xml:space="preserve"> принят Федеральный закон № 359-ФЗ «О федеральном бюджете на 2016 год». Законом устанавливаются параметры федерального бюджета на 2016 год. Основные характеристики федерального бюджета на 2016 год определены исходя из прогнозируемого объёма валового внутреннего продукта в размере 78 673,0 миллиарда рублей и уровня инфляции, не превышающего 6,4 процента. Прогнозируемый общий объём доходов федерального бюджета составляет 13 738,5 миллиарда рублей, объём расходов – 16 098,7 миллиарда рублей. Дефицит федерального бюджета определён в объёме 2 360,2 миллиарда рублей. Палата направляла в Государственную Думу замечания и предложения по законопроекту.</w:t>
      </w:r>
    </w:p>
    <w:p w:rsidR="001837C1" w:rsidRDefault="001837C1" w:rsidP="001837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Pr="00157731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157731">
        <w:rPr>
          <w:rFonts w:ascii="Times New Roman" w:hAnsi="Times New Roman" w:cs="Times New Roman"/>
          <w:sz w:val="26"/>
          <w:szCs w:val="26"/>
        </w:rPr>
        <w:t xml:space="preserve"> опубликован Доклад о результатах мониторинга правоприменения в России за 2014 год, подготовленный Правительством РФ и направленный Президенту РФ. Доклад ежегодно готовится во исполнение Указа Президента РФ от 20 мая 2011 года № 657 «О мониторинге правоприменения в Российской Федерации». </w:t>
      </w:r>
      <w:proofErr w:type="gramStart"/>
      <w:r w:rsidRPr="00157731">
        <w:rPr>
          <w:rFonts w:ascii="Times New Roman" w:hAnsi="Times New Roman" w:cs="Times New Roman"/>
          <w:sz w:val="26"/>
          <w:szCs w:val="26"/>
        </w:rPr>
        <w:t xml:space="preserve">В Доклад включены результаты мониторинга выполнения решений Конституционного Суда РФ, постановлений Европейского Суда по правам человека, а также результаты мониторинга правоприменения по отраслям законодательства РФ, в том числе в таких областях, как военная служба по </w:t>
      </w:r>
      <w:r w:rsidRPr="00157731">
        <w:rPr>
          <w:rFonts w:ascii="Times New Roman" w:hAnsi="Times New Roman" w:cs="Times New Roman"/>
          <w:sz w:val="26"/>
          <w:szCs w:val="26"/>
        </w:rPr>
        <w:lastRenderedPageBreak/>
        <w:t>контракту, социальное обеспечение военнослужащих, военно-техническое сотрудничество России с иностранными государствами, оказание специализированной медицинской помощи, среднее профессиональное образование, нормирование в области охраны окружающей среды, качество и</w:t>
      </w:r>
      <w:proofErr w:type="gramEnd"/>
      <w:r w:rsidRPr="00157731">
        <w:rPr>
          <w:rFonts w:ascii="Times New Roman" w:hAnsi="Times New Roman" w:cs="Times New Roman"/>
          <w:sz w:val="26"/>
          <w:szCs w:val="26"/>
        </w:rPr>
        <w:t xml:space="preserve"> безопасность пищевых продуктов, социальная поддержка семьи, материнства и детства. Текст Доклада с приложениями опубликован на портале правовой информации pravo.gov.ru, а также на сайте ТПП РФ.</w:t>
      </w:r>
    </w:p>
    <w:p w:rsidR="001837C1" w:rsidRPr="001103C2" w:rsidRDefault="001837C1" w:rsidP="001837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64156" w:rsidRPr="001837C1" w:rsidRDefault="00B64156" w:rsidP="001837C1"/>
    <w:sectPr w:rsidR="00B64156" w:rsidRPr="001837C1" w:rsidSect="00317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CF" w:rsidRDefault="009B1DCF" w:rsidP="005F043F">
      <w:pPr>
        <w:spacing w:after="0" w:line="240" w:lineRule="auto"/>
      </w:pPr>
      <w:r>
        <w:separator/>
      </w:r>
    </w:p>
  </w:endnote>
  <w:endnote w:type="continuationSeparator" w:id="0">
    <w:p w:rsidR="009B1DCF" w:rsidRDefault="009B1DCF" w:rsidP="005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CF" w:rsidRDefault="009B1DCF" w:rsidP="005F043F">
      <w:pPr>
        <w:spacing w:after="0" w:line="240" w:lineRule="auto"/>
      </w:pPr>
      <w:r>
        <w:separator/>
      </w:r>
    </w:p>
  </w:footnote>
  <w:footnote w:type="continuationSeparator" w:id="0">
    <w:p w:rsidR="009B1DCF" w:rsidRDefault="009B1DCF" w:rsidP="005F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331992"/>
      <w:docPartObj>
        <w:docPartGallery w:val="Page Numbers (Top of Page)"/>
        <w:docPartUnique/>
      </w:docPartObj>
    </w:sdtPr>
    <w:sdtEndPr/>
    <w:sdtContent>
      <w:p w:rsidR="005F043F" w:rsidRDefault="005F04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57">
          <w:rPr>
            <w:noProof/>
          </w:rPr>
          <w:t>5</w:t>
        </w:r>
        <w:r>
          <w:fldChar w:fldCharType="end"/>
        </w:r>
      </w:p>
    </w:sdtContent>
  </w:sdt>
  <w:p w:rsidR="005F043F" w:rsidRDefault="005F04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10" w:rsidRDefault="00065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7"/>
    <w:rsid w:val="00030249"/>
    <w:rsid w:val="00030EAB"/>
    <w:rsid w:val="00065710"/>
    <w:rsid w:val="00066510"/>
    <w:rsid w:val="000D45DB"/>
    <w:rsid w:val="001103C2"/>
    <w:rsid w:val="00130321"/>
    <w:rsid w:val="00157731"/>
    <w:rsid w:val="00166375"/>
    <w:rsid w:val="00176EC7"/>
    <w:rsid w:val="001837C1"/>
    <w:rsid w:val="001A2A38"/>
    <w:rsid w:val="001C09CE"/>
    <w:rsid w:val="0029090C"/>
    <w:rsid w:val="00315D16"/>
    <w:rsid w:val="00317EA2"/>
    <w:rsid w:val="0038443F"/>
    <w:rsid w:val="003917E8"/>
    <w:rsid w:val="003C01B3"/>
    <w:rsid w:val="003D1CA6"/>
    <w:rsid w:val="003D4006"/>
    <w:rsid w:val="00411DE1"/>
    <w:rsid w:val="004201E2"/>
    <w:rsid w:val="00470536"/>
    <w:rsid w:val="004A5A71"/>
    <w:rsid w:val="004C3671"/>
    <w:rsid w:val="004D00A6"/>
    <w:rsid w:val="004D5593"/>
    <w:rsid w:val="00504987"/>
    <w:rsid w:val="005127BD"/>
    <w:rsid w:val="005C4575"/>
    <w:rsid w:val="005D632F"/>
    <w:rsid w:val="005F043F"/>
    <w:rsid w:val="00646ACE"/>
    <w:rsid w:val="006827D8"/>
    <w:rsid w:val="0069157B"/>
    <w:rsid w:val="006A4ED1"/>
    <w:rsid w:val="006E0C22"/>
    <w:rsid w:val="00733123"/>
    <w:rsid w:val="00753523"/>
    <w:rsid w:val="007567BA"/>
    <w:rsid w:val="00756A63"/>
    <w:rsid w:val="007835D7"/>
    <w:rsid w:val="007C7CDB"/>
    <w:rsid w:val="00880836"/>
    <w:rsid w:val="008C7609"/>
    <w:rsid w:val="0090665A"/>
    <w:rsid w:val="00932B02"/>
    <w:rsid w:val="00934DD4"/>
    <w:rsid w:val="00962E58"/>
    <w:rsid w:val="009870BB"/>
    <w:rsid w:val="009B1DCF"/>
    <w:rsid w:val="009C0B28"/>
    <w:rsid w:val="009F3FEE"/>
    <w:rsid w:val="00A1399F"/>
    <w:rsid w:val="00A70078"/>
    <w:rsid w:val="00A7182D"/>
    <w:rsid w:val="00A834EC"/>
    <w:rsid w:val="00A87F4D"/>
    <w:rsid w:val="00AC1D76"/>
    <w:rsid w:val="00AD1A64"/>
    <w:rsid w:val="00B32013"/>
    <w:rsid w:val="00B60355"/>
    <w:rsid w:val="00B64156"/>
    <w:rsid w:val="00BA0935"/>
    <w:rsid w:val="00BC653D"/>
    <w:rsid w:val="00C370F0"/>
    <w:rsid w:val="00C716F5"/>
    <w:rsid w:val="00C74C09"/>
    <w:rsid w:val="00C87F15"/>
    <w:rsid w:val="00C908E6"/>
    <w:rsid w:val="00CB769C"/>
    <w:rsid w:val="00CD2170"/>
    <w:rsid w:val="00CF1EA9"/>
    <w:rsid w:val="00D10EA2"/>
    <w:rsid w:val="00D1294B"/>
    <w:rsid w:val="00D47542"/>
    <w:rsid w:val="00D53C1E"/>
    <w:rsid w:val="00D87B81"/>
    <w:rsid w:val="00DB5957"/>
    <w:rsid w:val="00DC2A9D"/>
    <w:rsid w:val="00E22437"/>
    <w:rsid w:val="00E25549"/>
    <w:rsid w:val="00E73D11"/>
    <w:rsid w:val="00E83FB8"/>
    <w:rsid w:val="00EB2842"/>
    <w:rsid w:val="00EF28E2"/>
    <w:rsid w:val="00EF3899"/>
    <w:rsid w:val="00F02527"/>
    <w:rsid w:val="00F30D86"/>
    <w:rsid w:val="00F677EC"/>
    <w:rsid w:val="00F7692D"/>
    <w:rsid w:val="00FA4DF9"/>
    <w:rsid w:val="00FC09CF"/>
    <w:rsid w:val="00FD5AEF"/>
    <w:rsid w:val="00FF3099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5F043F"/>
    <w:pPr>
      <w:spacing w:after="60" w:line="259" w:lineRule="auto"/>
      <w:ind w:right="-288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rsid w:val="005F043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43F"/>
  </w:style>
  <w:style w:type="paragraph" w:styleId="a5">
    <w:name w:val="footer"/>
    <w:basedOn w:val="a"/>
    <w:link w:val="a6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43F"/>
  </w:style>
  <w:style w:type="paragraph" w:styleId="a7">
    <w:name w:val="List Paragraph"/>
    <w:basedOn w:val="a"/>
    <w:uiPriority w:val="34"/>
    <w:qFormat/>
    <w:rsid w:val="00F7692D"/>
    <w:pPr>
      <w:ind w:left="720"/>
      <w:contextualSpacing/>
    </w:pPr>
  </w:style>
  <w:style w:type="paragraph" w:customStyle="1" w:styleId="ConsPlusNormal">
    <w:name w:val="ConsPlusNormal"/>
    <w:rsid w:val="00411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F6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771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7">
    <w:name w:val="pt-a-000007"/>
    <w:basedOn w:val="a"/>
    <w:rsid w:val="005F043F"/>
    <w:pPr>
      <w:spacing w:after="60" w:line="259" w:lineRule="auto"/>
      <w:ind w:right="-288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rsid w:val="005F043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43F"/>
  </w:style>
  <w:style w:type="paragraph" w:styleId="a5">
    <w:name w:val="footer"/>
    <w:basedOn w:val="a"/>
    <w:link w:val="a6"/>
    <w:uiPriority w:val="99"/>
    <w:unhideWhenUsed/>
    <w:rsid w:val="005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43F"/>
  </w:style>
  <w:style w:type="paragraph" w:styleId="a7">
    <w:name w:val="List Paragraph"/>
    <w:basedOn w:val="a"/>
    <w:uiPriority w:val="34"/>
    <w:qFormat/>
    <w:rsid w:val="00F7692D"/>
    <w:pPr>
      <w:ind w:left="720"/>
      <w:contextualSpacing/>
    </w:pPr>
  </w:style>
  <w:style w:type="paragraph" w:customStyle="1" w:styleId="ConsPlusNormal">
    <w:name w:val="ConsPlusNormal"/>
    <w:rsid w:val="00411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F6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771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4E00-B764-4189-8CEB-14AE5D8A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</dc:creator>
  <cp:lastModifiedBy>We Are</cp:lastModifiedBy>
  <cp:revision>2</cp:revision>
  <cp:lastPrinted>2015-12-29T09:06:00Z</cp:lastPrinted>
  <dcterms:created xsi:type="dcterms:W3CDTF">2016-01-13T09:23:00Z</dcterms:created>
  <dcterms:modified xsi:type="dcterms:W3CDTF">2016-01-13T09:23:00Z</dcterms:modified>
</cp:coreProperties>
</file>